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F6A04" w14:textId="41CB2203" w:rsidR="00D43996" w:rsidRDefault="00C55B26" w:rsidP="004E565F">
      <w:pPr>
        <w:pStyle w:val="Title"/>
        <w:spacing w:line="360" w:lineRule="auto"/>
        <w:rPr>
          <w:rFonts w:cs="Arial"/>
        </w:rPr>
      </w:pPr>
      <w:r w:rsidRPr="005D7EEC">
        <w:rPr>
          <w:rFonts w:cs="Arial"/>
        </w:rPr>
        <w:t>“Futureproof New Towns</w:t>
      </w:r>
      <w:r w:rsidR="00D43996">
        <w:rPr>
          <w:rFonts w:cs="Arial"/>
        </w:rPr>
        <w:t>:</w:t>
      </w:r>
    </w:p>
    <w:p w14:paraId="0D4DFE7B" w14:textId="7A8C6B16" w:rsidR="00C17EFF" w:rsidRDefault="00D43996" w:rsidP="001A2F2F">
      <w:pPr>
        <w:pStyle w:val="Title"/>
        <w:spacing w:after="400" w:line="360" w:lineRule="auto"/>
        <w:rPr>
          <w:rFonts w:cs="Arial"/>
        </w:rPr>
      </w:pPr>
      <w:r>
        <w:rPr>
          <w:rFonts w:cs="Arial"/>
        </w:rPr>
        <w:t>International lessons on how to build flexible and adaptable new towns in England</w:t>
      </w:r>
      <w:r w:rsidR="00C55B26" w:rsidRPr="005D7EEC">
        <w:rPr>
          <w:rFonts w:cs="Arial"/>
        </w:rPr>
        <w:t>”</w:t>
      </w:r>
    </w:p>
    <w:p w14:paraId="7B889A5E" w14:textId="03DCFF47" w:rsidR="00FE54C5" w:rsidRDefault="00D94508" w:rsidP="007E4BAB">
      <w:pPr>
        <w:rPr>
          <w:rFonts w:cs="Arial"/>
        </w:rPr>
      </w:pPr>
      <w:r>
        <w:rPr>
          <w:rFonts w:cs="Arial"/>
        </w:rPr>
        <w:t>Published F</w:t>
      </w:r>
      <w:r w:rsidR="00FE54C5">
        <w:rPr>
          <w:rFonts w:cs="Arial"/>
        </w:rPr>
        <w:t>ebruary 2026</w:t>
      </w:r>
    </w:p>
    <w:p w14:paraId="30E36166" w14:textId="0AF8FFE1" w:rsidR="00426A41" w:rsidRPr="005D7EEC" w:rsidRDefault="00426A41" w:rsidP="0036491E">
      <w:pPr>
        <w:pStyle w:val="Heading1"/>
        <w:rPr>
          <w:rFonts w:cs="Arial"/>
        </w:rPr>
      </w:pPr>
      <w:bookmarkStart w:id="0" w:name="_Toc216713305"/>
      <w:bookmarkStart w:id="1" w:name="_Toc221626812"/>
      <w:r w:rsidRPr="005D7EEC">
        <w:rPr>
          <w:rFonts w:cs="Arial"/>
        </w:rPr>
        <w:t>The Royal Town Planning Institute (RTPI)</w:t>
      </w:r>
      <w:bookmarkEnd w:id="0"/>
      <w:bookmarkEnd w:id="1"/>
    </w:p>
    <w:p w14:paraId="1E1C5CE6" w14:textId="77777777" w:rsidR="00426A41" w:rsidRPr="005D7EEC" w:rsidRDefault="00426A41" w:rsidP="00E750BC">
      <w:pPr>
        <w:rPr>
          <w:rFonts w:cs="Arial"/>
        </w:rPr>
      </w:pPr>
      <w:r w:rsidRPr="005D7EEC">
        <w:rPr>
          <w:rFonts w:cs="Arial"/>
        </w:rPr>
        <w:t>The RTPI champions the power of planning to create prosperous places and vibrant communities. We have over 27,000 members in the private, public, academic and voluntary sectors. Using our expertise and research we bring evidence and thought leadership to shape planning policies and thinking, putting the profession at the heart of society's big debates. We set the standards of planning education and professional behaviour that give our members, wherever they work in the world, a unique ability to meet complex economic, social and environmental challenges. We are the only body in the United Kingdom that confers Chartered status to planners, the highest professional qualification, sought after by employers in both private and public sectors.</w:t>
      </w:r>
    </w:p>
    <w:p w14:paraId="4124AB09" w14:textId="77777777" w:rsidR="00426A41" w:rsidRPr="005D7EEC" w:rsidRDefault="00426A41" w:rsidP="0036491E">
      <w:pPr>
        <w:pStyle w:val="Heading1"/>
        <w:rPr>
          <w:rFonts w:cs="Arial"/>
        </w:rPr>
      </w:pPr>
      <w:bookmarkStart w:id="2" w:name="_Toc216713306"/>
      <w:bookmarkStart w:id="3" w:name="_Toc221626813"/>
      <w:r w:rsidRPr="005D7EEC">
        <w:rPr>
          <w:rFonts w:cs="Arial"/>
        </w:rPr>
        <w:t>Report authors</w:t>
      </w:r>
      <w:bookmarkEnd w:id="2"/>
      <w:bookmarkEnd w:id="3"/>
    </w:p>
    <w:p w14:paraId="59787AF6" w14:textId="4476E51D" w:rsidR="00426A41" w:rsidRPr="005D7EEC" w:rsidRDefault="00426A41" w:rsidP="007E4BAB">
      <w:pPr>
        <w:rPr>
          <w:rFonts w:cs="Arial"/>
        </w:rPr>
      </w:pPr>
      <w:r w:rsidRPr="005D7EEC">
        <w:rPr>
          <w:rFonts w:cs="Arial"/>
        </w:rPr>
        <w:t>This report was commissioned by the RTPI</w:t>
      </w:r>
      <w:r w:rsidR="00D741B9">
        <w:rPr>
          <w:rFonts w:cs="Arial"/>
        </w:rPr>
        <w:t xml:space="preserve">. </w:t>
      </w:r>
      <w:r w:rsidRPr="005D7EEC">
        <w:rPr>
          <w:rFonts w:cs="Arial"/>
        </w:rPr>
        <w:t>It was authored by the Futureproof New Towns project team, which comprise</w:t>
      </w:r>
      <w:r w:rsidR="002B4B02">
        <w:rPr>
          <w:rFonts w:cs="Arial"/>
        </w:rPr>
        <w:t>d</w:t>
      </w:r>
      <w:r w:rsidRPr="005D7EEC">
        <w:rPr>
          <w:rFonts w:cs="Arial"/>
        </w:rPr>
        <w:t>:</w:t>
      </w:r>
    </w:p>
    <w:p w14:paraId="7E1214E4" w14:textId="707E906D" w:rsidR="00426A41" w:rsidRPr="005D7EEC" w:rsidRDefault="00426A41" w:rsidP="007E4BAB">
      <w:pPr>
        <w:pStyle w:val="ListParagraph"/>
        <w:numPr>
          <w:ilvl w:val="0"/>
          <w:numId w:val="21"/>
        </w:numPr>
        <w:rPr>
          <w:rFonts w:cs="Arial"/>
        </w:rPr>
      </w:pPr>
      <w:r w:rsidRPr="005D7EEC">
        <w:rPr>
          <w:rFonts w:cs="Arial"/>
        </w:rPr>
        <w:t>Professor John Sturzaker FRTPI, University of Hertfordshire</w:t>
      </w:r>
      <w:r w:rsidR="00EA3D8E" w:rsidRPr="005D7EEC">
        <w:rPr>
          <w:rFonts w:cs="Arial"/>
        </w:rPr>
        <w:t>;</w:t>
      </w:r>
    </w:p>
    <w:p w14:paraId="16B873C1" w14:textId="6D721112" w:rsidR="00426A41" w:rsidRPr="005D7EEC" w:rsidRDefault="00426A41" w:rsidP="007E4BAB">
      <w:pPr>
        <w:pStyle w:val="ListParagraph"/>
        <w:numPr>
          <w:ilvl w:val="0"/>
          <w:numId w:val="21"/>
        </w:numPr>
        <w:rPr>
          <w:rFonts w:cs="Arial"/>
        </w:rPr>
      </w:pPr>
      <w:r w:rsidRPr="005D7EEC">
        <w:rPr>
          <w:rFonts w:cs="Arial"/>
        </w:rPr>
        <w:t>Professor Alex Lord, University of Liverpool</w:t>
      </w:r>
      <w:r w:rsidR="00EA3D8E" w:rsidRPr="005D7EEC">
        <w:rPr>
          <w:rFonts w:cs="Arial"/>
        </w:rPr>
        <w:t>;</w:t>
      </w:r>
    </w:p>
    <w:p w14:paraId="3D3D6F95" w14:textId="42463544" w:rsidR="00426A41" w:rsidRPr="005D7EEC" w:rsidRDefault="00426A41" w:rsidP="007E4BAB">
      <w:pPr>
        <w:pStyle w:val="ListParagraph"/>
        <w:numPr>
          <w:ilvl w:val="0"/>
          <w:numId w:val="21"/>
        </w:numPr>
        <w:rPr>
          <w:rFonts w:cs="Arial"/>
        </w:rPr>
      </w:pPr>
      <w:r w:rsidRPr="005D7EEC">
        <w:rPr>
          <w:rFonts w:cs="Arial"/>
        </w:rPr>
        <w:t>Dr Phil O’Brien, University of Glas</w:t>
      </w:r>
      <w:r w:rsidR="002B4B02">
        <w:rPr>
          <w:rFonts w:cs="Arial"/>
        </w:rPr>
        <w:t>g</w:t>
      </w:r>
      <w:r w:rsidRPr="005D7EEC">
        <w:rPr>
          <w:rFonts w:cs="Arial"/>
        </w:rPr>
        <w:t>ow</w:t>
      </w:r>
      <w:r w:rsidR="00EA3D8E" w:rsidRPr="005D7EEC">
        <w:rPr>
          <w:rFonts w:cs="Arial"/>
        </w:rPr>
        <w:t>;</w:t>
      </w:r>
    </w:p>
    <w:p w14:paraId="78EE7101" w14:textId="77777777" w:rsidR="00426A41" w:rsidRPr="005D7EEC" w:rsidRDefault="00426A41" w:rsidP="007E4BAB">
      <w:pPr>
        <w:pStyle w:val="ListParagraph"/>
        <w:numPr>
          <w:ilvl w:val="0"/>
          <w:numId w:val="21"/>
        </w:numPr>
        <w:rPr>
          <w:rFonts w:cs="Arial"/>
        </w:rPr>
      </w:pPr>
      <w:r w:rsidRPr="005D7EEC">
        <w:rPr>
          <w:rFonts w:cs="Arial"/>
        </w:rPr>
        <w:t>Associate Professor Susan Parham MRTPI, University of Hertfordshire; and</w:t>
      </w:r>
    </w:p>
    <w:p w14:paraId="6E72374F" w14:textId="61D5DAF2" w:rsidR="00426A41" w:rsidRPr="005D7EEC" w:rsidRDefault="00426A41" w:rsidP="007E4BAB">
      <w:pPr>
        <w:pStyle w:val="ListParagraph"/>
        <w:numPr>
          <w:ilvl w:val="0"/>
          <w:numId w:val="21"/>
        </w:numPr>
        <w:rPr>
          <w:rFonts w:cs="Arial"/>
        </w:rPr>
      </w:pPr>
      <w:r w:rsidRPr="005D7EEC">
        <w:rPr>
          <w:rFonts w:cs="Arial"/>
        </w:rPr>
        <w:lastRenderedPageBreak/>
        <w:t>Ellie Pritchard, University of Hertfordshire</w:t>
      </w:r>
      <w:r w:rsidR="00EA3D8E" w:rsidRPr="005D7EEC">
        <w:rPr>
          <w:rFonts w:cs="Arial"/>
        </w:rPr>
        <w:t>.</w:t>
      </w:r>
    </w:p>
    <w:p w14:paraId="7B45967F" w14:textId="14521D08" w:rsidR="00520B73" w:rsidRPr="005D7EEC" w:rsidRDefault="00426A41">
      <w:pPr>
        <w:rPr>
          <w:rFonts w:cs="Arial"/>
        </w:rPr>
      </w:pPr>
      <w:r w:rsidRPr="005D7EEC">
        <w:rPr>
          <w:rFonts w:cs="Arial"/>
        </w:rPr>
        <w:t>The RTPI Practice and Research</w:t>
      </w:r>
      <w:r w:rsidR="00E53FCA" w:rsidRPr="005D7EEC">
        <w:rPr>
          <w:rFonts w:cs="Arial"/>
        </w:rPr>
        <w:t xml:space="preserve"> and International</w:t>
      </w:r>
      <w:r w:rsidRPr="005D7EEC">
        <w:rPr>
          <w:rFonts w:cs="Arial"/>
        </w:rPr>
        <w:t xml:space="preserve"> team</w:t>
      </w:r>
      <w:r w:rsidR="00E53FCA" w:rsidRPr="005D7EEC">
        <w:rPr>
          <w:rFonts w:cs="Arial"/>
        </w:rPr>
        <w:t>s</w:t>
      </w:r>
      <w:r w:rsidRPr="005D7EEC">
        <w:rPr>
          <w:rFonts w:cs="Arial"/>
        </w:rPr>
        <w:t xml:space="preserve"> provided input and edited the report.</w:t>
      </w:r>
      <w:r w:rsidR="00192A5B">
        <w:rPr>
          <w:rFonts w:cs="Arial"/>
        </w:rPr>
        <w:t xml:space="preserve"> For correspondence please contact </w:t>
      </w:r>
      <w:hyperlink r:id="rId11" w:history="1">
        <w:r w:rsidR="00192A5B" w:rsidRPr="00E5607A">
          <w:rPr>
            <w:rStyle w:val="Hyperlink"/>
            <w:rFonts w:cs="Arial"/>
          </w:rPr>
          <w:t>research@rtpi.org.uk</w:t>
        </w:r>
      </w:hyperlink>
      <w:r w:rsidR="00192A5B">
        <w:rPr>
          <w:rFonts w:cs="Arial"/>
        </w:rPr>
        <w:t xml:space="preserve">. </w:t>
      </w:r>
    </w:p>
    <w:p w14:paraId="50DD2287" w14:textId="7068D922" w:rsidR="00520B73" w:rsidRPr="005D7EEC" w:rsidRDefault="00520B73" w:rsidP="004E565F">
      <w:pPr>
        <w:pStyle w:val="Heading1"/>
      </w:pPr>
      <w:bookmarkStart w:id="4" w:name="_Toc221626814"/>
      <w:r w:rsidRPr="005D7EEC">
        <w:t>Contents</w:t>
      </w:r>
      <w:bookmarkEnd w:id="4"/>
    </w:p>
    <w:p w14:paraId="524089A3" w14:textId="0F573A68" w:rsidR="004E565F" w:rsidRDefault="00520B73">
      <w:pPr>
        <w:pStyle w:val="TOC1"/>
        <w:tabs>
          <w:tab w:val="right" w:leader="dot" w:pos="9016"/>
        </w:tabs>
        <w:rPr>
          <w:rFonts w:asciiTheme="minorHAnsi" w:eastAsiaTheme="minorEastAsia" w:hAnsiTheme="minorHAnsi"/>
          <w:noProof/>
          <w:szCs w:val="24"/>
          <w:lang w:eastAsia="en-GB"/>
        </w:rPr>
      </w:pPr>
      <w:r w:rsidRPr="005D7EEC">
        <w:rPr>
          <w:rFonts w:cs="Arial"/>
        </w:rPr>
        <w:fldChar w:fldCharType="begin"/>
      </w:r>
      <w:r w:rsidRPr="005D7EEC">
        <w:rPr>
          <w:rFonts w:cs="Arial"/>
        </w:rPr>
        <w:instrText xml:space="preserve"> TOC \h \z \t "Heading 1,1" </w:instrText>
      </w:r>
      <w:r w:rsidRPr="005D7EEC">
        <w:rPr>
          <w:rFonts w:cs="Arial"/>
        </w:rPr>
        <w:fldChar w:fldCharType="separate"/>
      </w:r>
      <w:hyperlink w:anchor="_Toc221626812" w:history="1">
        <w:r w:rsidR="004E565F" w:rsidRPr="00B3107C">
          <w:rPr>
            <w:rStyle w:val="Hyperlink"/>
            <w:rFonts w:cs="Arial"/>
            <w:noProof/>
          </w:rPr>
          <w:t>The Royal Town Planning Institute (RTPI)</w:t>
        </w:r>
        <w:r w:rsidR="004E565F">
          <w:rPr>
            <w:noProof/>
            <w:webHidden/>
          </w:rPr>
          <w:tab/>
        </w:r>
        <w:r w:rsidR="004E565F">
          <w:rPr>
            <w:noProof/>
            <w:webHidden/>
          </w:rPr>
          <w:fldChar w:fldCharType="begin"/>
        </w:r>
        <w:r w:rsidR="004E565F">
          <w:rPr>
            <w:noProof/>
            <w:webHidden/>
          </w:rPr>
          <w:instrText xml:space="preserve"> PAGEREF _Toc221626812 \h </w:instrText>
        </w:r>
        <w:r w:rsidR="004E565F">
          <w:rPr>
            <w:noProof/>
            <w:webHidden/>
          </w:rPr>
        </w:r>
        <w:r w:rsidR="004E565F">
          <w:rPr>
            <w:noProof/>
            <w:webHidden/>
          </w:rPr>
          <w:fldChar w:fldCharType="separate"/>
        </w:r>
        <w:r w:rsidR="004E565F">
          <w:rPr>
            <w:noProof/>
            <w:webHidden/>
          </w:rPr>
          <w:t>1</w:t>
        </w:r>
        <w:r w:rsidR="004E565F">
          <w:rPr>
            <w:noProof/>
            <w:webHidden/>
          </w:rPr>
          <w:fldChar w:fldCharType="end"/>
        </w:r>
      </w:hyperlink>
    </w:p>
    <w:p w14:paraId="10ED108E" w14:textId="602851A3" w:rsidR="004E565F" w:rsidRDefault="004E565F">
      <w:pPr>
        <w:pStyle w:val="TOC1"/>
        <w:tabs>
          <w:tab w:val="right" w:leader="dot" w:pos="9016"/>
        </w:tabs>
        <w:rPr>
          <w:rFonts w:asciiTheme="minorHAnsi" w:eastAsiaTheme="minorEastAsia" w:hAnsiTheme="minorHAnsi"/>
          <w:noProof/>
          <w:szCs w:val="24"/>
          <w:lang w:eastAsia="en-GB"/>
        </w:rPr>
      </w:pPr>
      <w:hyperlink w:anchor="_Toc221626813" w:history="1">
        <w:r w:rsidRPr="00B3107C">
          <w:rPr>
            <w:rStyle w:val="Hyperlink"/>
            <w:rFonts w:cs="Arial"/>
            <w:noProof/>
          </w:rPr>
          <w:t>Report authors</w:t>
        </w:r>
        <w:r>
          <w:rPr>
            <w:noProof/>
            <w:webHidden/>
          </w:rPr>
          <w:tab/>
        </w:r>
        <w:r>
          <w:rPr>
            <w:noProof/>
            <w:webHidden/>
          </w:rPr>
          <w:fldChar w:fldCharType="begin"/>
        </w:r>
        <w:r>
          <w:rPr>
            <w:noProof/>
            <w:webHidden/>
          </w:rPr>
          <w:instrText xml:space="preserve"> PAGEREF _Toc221626813 \h </w:instrText>
        </w:r>
        <w:r>
          <w:rPr>
            <w:noProof/>
            <w:webHidden/>
          </w:rPr>
        </w:r>
        <w:r>
          <w:rPr>
            <w:noProof/>
            <w:webHidden/>
          </w:rPr>
          <w:fldChar w:fldCharType="separate"/>
        </w:r>
        <w:r>
          <w:rPr>
            <w:noProof/>
            <w:webHidden/>
          </w:rPr>
          <w:t>1</w:t>
        </w:r>
        <w:r>
          <w:rPr>
            <w:noProof/>
            <w:webHidden/>
          </w:rPr>
          <w:fldChar w:fldCharType="end"/>
        </w:r>
      </w:hyperlink>
    </w:p>
    <w:p w14:paraId="71A0BEFF" w14:textId="33BAA1B2" w:rsidR="004E565F" w:rsidRDefault="004E565F">
      <w:pPr>
        <w:pStyle w:val="TOC1"/>
        <w:tabs>
          <w:tab w:val="right" w:leader="dot" w:pos="9016"/>
        </w:tabs>
        <w:rPr>
          <w:rFonts w:asciiTheme="minorHAnsi" w:eastAsiaTheme="minorEastAsia" w:hAnsiTheme="minorHAnsi"/>
          <w:noProof/>
          <w:szCs w:val="24"/>
          <w:lang w:eastAsia="en-GB"/>
        </w:rPr>
      </w:pPr>
      <w:hyperlink w:anchor="_Toc221626814" w:history="1">
        <w:r w:rsidRPr="00B3107C">
          <w:rPr>
            <w:rStyle w:val="Hyperlink"/>
            <w:noProof/>
          </w:rPr>
          <w:t>Contents</w:t>
        </w:r>
        <w:r>
          <w:rPr>
            <w:noProof/>
            <w:webHidden/>
          </w:rPr>
          <w:tab/>
        </w:r>
        <w:r>
          <w:rPr>
            <w:noProof/>
            <w:webHidden/>
          </w:rPr>
          <w:fldChar w:fldCharType="begin"/>
        </w:r>
        <w:r>
          <w:rPr>
            <w:noProof/>
            <w:webHidden/>
          </w:rPr>
          <w:instrText xml:space="preserve"> PAGEREF _Toc221626814 \h </w:instrText>
        </w:r>
        <w:r>
          <w:rPr>
            <w:noProof/>
            <w:webHidden/>
          </w:rPr>
        </w:r>
        <w:r>
          <w:rPr>
            <w:noProof/>
            <w:webHidden/>
          </w:rPr>
          <w:fldChar w:fldCharType="separate"/>
        </w:r>
        <w:r>
          <w:rPr>
            <w:noProof/>
            <w:webHidden/>
          </w:rPr>
          <w:t>2</w:t>
        </w:r>
        <w:r>
          <w:rPr>
            <w:noProof/>
            <w:webHidden/>
          </w:rPr>
          <w:fldChar w:fldCharType="end"/>
        </w:r>
      </w:hyperlink>
    </w:p>
    <w:p w14:paraId="3ECC2B4E" w14:textId="5C91545A" w:rsidR="004E565F" w:rsidRDefault="004E565F">
      <w:pPr>
        <w:pStyle w:val="TOC1"/>
        <w:tabs>
          <w:tab w:val="right" w:leader="dot" w:pos="9016"/>
        </w:tabs>
        <w:rPr>
          <w:rFonts w:asciiTheme="minorHAnsi" w:eastAsiaTheme="minorEastAsia" w:hAnsiTheme="minorHAnsi"/>
          <w:noProof/>
          <w:szCs w:val="24"/>
          <w:lang w:eastAsia="en-GB"/>
        </w:rPr>
      </w:pPr>
      <w:hyperlink w:anchor="_Toc221626815" w:history="1">
        <w:r w:rsidRPr="00B3107C">
          <w:rPr>
            <w:rStyle w:val="Hyperlink"/>
            <w:rFonts w:cs="Arial"/>
            <w:noProof/>
          </w:rPr>
          <w:t>Foreword and executive summary</w:t>
        </w:r>
        <w:r>
          <w:rPr>
            <w:noProof/>
            <w:webHidden/>
          </w:rPr>
          <w:tab/>
        </w:r>
        <w:r>
          <w:rPr>
            <w:noProof/>
            <w:webHidden/>
          </w:rPr>
          <w:fldChar w:fldCharType="begin"/>
        </w:r>
        <w:r>
          <w:rPr>
            <w:noProof/>
            <w:webHidden/>
          </w:rPr>
          <w:instrText xml:space="preserve"> PAGEREF _Toc221626815 \h </w:instrText>
        </w:r>
        <w:r>
          <w:rPr>
            <w:noProof/>
            <w:webHidden/>
          </w:rPr>
        </w:r>
        <w:r>
          <w:rPr>
            <w:noProof/>
            <w:webHidden/>
          </w:rPr>
          <w:fldChar w:fldCharType="separate"/>
        </w:r>
        <w:r>
          <w:rPr>
            <w:noProof/>
            <w:webHidden/>
          </w:rPr>
          <w:t>3</w:t>
        </w:r>
        <w:r>
          <w:rPr>
            <w:noProof/>
            <w:webHidden/>
          </w:rPr>
          <w:fldChar w:fldCharType="end"/>
        </w:r>
      </w:hyperlink>
    </w:p>
    <w:p w14:paraId="39A6341D" w14:textId="03A95385" w:rsidR="004E565F" w:rsidRDefault="004E565F">
      <w:pPr>
        <w:pStyle w:val="TOC1"/>
        <w:tabs>
          <w:tab w:val="right" w:leader="dot" w:pos="9016"/>
        </w:tabs>
        <w:rPr>
          <w:rFonts w:asciiTheme="minorHAnsi" w:eastAsiaTheme="minorEastAsia" w:hAnsiTheme="minorHAnsi"/>
          <w:noProof/>
          <w:szCs w:val="24"/>
          <w:lang w:eastAsia="en-GB"/>
        </w:rPr>
      </w:pPr>
      <w:hyperlink w:anchor="_Toc221626816" w:history="1">
        <w:r w:rsidRPr="00B3107C">
          <w:rPr>
            <w:rStyle w:val="Hyperlink"/>
            <w:noProof/>
          </w:rPr>
          <w:t>1. Introduction</w:t>
        </w:r>
        <w:r>
          <w:rPr>
            <w:noProof/>
            <w:webHidden/>
          </w:rPr>
          <w:tab/>
        </w:r>
        <w:r>
          <w:rPr>
            <w:noProof/>
            <w:webHidden/>
          </w:rPr>
          <w:fldChar w:fldCharType="begin"/>
        </w:r>
        <w:r>
          <w:rPr>
            <w:noProof/>
            <w:webHidden/>
          </w:rPr>
          <w:instrText xml:space="preserve"> PAGEREF _Toc221626816 \h </w:instrText>
        </w:r>
        <w:r>
          <w:rPr>
            <w:noProof/>
            <w:webHidden/>
          </w:rPr>
        </w:r>
        <w:r>
          <w:rPr>
            <w:noProof/>
            <w:webHidden/>
          </w:rPr>
          <w:fldChar w:fldCharType="separate"/>
        </w:r>
        <w:r>
          <w:rPr>
            <w:noProof/>
            <w:webHidden/>
          </w:rPr>
          <w:t>8</w:t>
        </w:r>
        <w:r>
          <w:rPr>
            <w:noProof/>
            <w:webHidden/>
          </w:rPr>
          <w:fldChar w:fldCharType="end"/>
        </w:r>
      </w:hyperlink>
    </w:p>
    <w:p w14:paraId="382A2224" w14:textId="1DCE7DCA" w:rsidR="004E565F" w:rsidRDefault="004E565F">
      <w:pPr>
        <w:pStyle w:val="TOC1"/>
        <w:tabs>
          <w:tab w:val="right" w:leader="dot" w:pos="9016"/>
        </w:tabs>
        <w:rPr>
          <w:rFonts w:asciiTheme="minorHAnsi" w:eastAsiaTheme="minorEastAsia" w:hAnsiTheme="minorHAnsi"/>
          <w:noProof/>
          <w:szCs w:val="24"/>
          <w:lang w:eastAsia="en-GB"/>
        </w:rPr>
      </w:pPr>
      <w:hyperlink w:anchor="_Toc221626817" w:history="1">
        <w:r w:rsidRPr="00B3107C">
          <w:rPr>
            <w:rStyle w:val="Hyperlink"/>
            <w:rFonts w:cs="Arial"/>
            <w:noProof/>
          </w:rPr>
          <w:t>2. Case study: Almere</w:t>
        </w:r>
        <w:r>
          <w:rPr>
            <w:noProof/>
            <w:webHidden/>
          </w:rPr>
          <w:tab/>
        </w:r>
        <w:r>
          <w:rPr>
            <w:noProof/>
            <w:webHidden/>
          </w:rPr>
          <w:fldChar w:fldCharType="begin"/>
        </w:r>
        <w:r>
          <w:rPr>
            <w:noProof/>
            <w:webHidden/>
          </w:rPr>
          <w:instrText xml:space="preserve"> PAGEREF _Toc221626817 \h </w:instrText>
        </w:r>
        <w:r>
          <w:rPr>
            <w:noProof/>
            <w:webHidden/>
          </w:rPr>
        </w:r>
        <w:r>
          <w:rPr>
            <w:noProof/>
            <w:webHidden/>
          </w:rPr>
          <w:fldChar w:fldCharType="separate"/>
        </w:r>
        <w:r>
          <w:rPr>
            <w:noProof/>
            <w:webHidden/>
          </w:rPr>
          <w:t>14</w:t>
        </w:r>
        <w:r>
          <w:rPr>
            <w:noProof/>
            <w:webHidden/>
          </w:rPr>
          <w:fldChar w:fldCharType="end"/>
        </w:r>
      </w:hyperlink>
    </w:p>
    <w:p w14:paraId="436C7E3E" w14:textId="7AC03B86" w:rsidR="004E565F" w:rsidRDefault="004E565F">
      <w:pPr>
        <w:pStyle w:val="TOC1"/>
        <w:tabs>
          <w:tab w:val="right" w:leader="dot" w:pos="9016"/>
        </w:tabs>
        <w:rPr>
          <w:rFonts w:asciiTheme="minorHAnsi" w:eastAsiaTheme="minorEastAsia" w:hAnsiTheme="minorHAnsi"/>
          <w:noProof/>
          <w:szCs w:val="24"/>
          <w:lang w:eastAsia="en-GB"/>
        </w:rPr>
      </w:pPr>
      <w:hyperlink w:anchor="_Toc221626818" w:history="1">
        <w:r w:rsidRPr="00B3107C">
          <w:rPr>
            <w:rStyle w:val="Hyperlink"/>
            <w:rFonts w:cs="Arial"/>
            <w:noProof/>
          </w:rPr>
          <w:t>3. Case study: Freiburg</w:t>
        </w:r>
        <w:r>
          <w:rPr>
            <w:noProof/>
            <w:webHidden/>
          </w:rPr>
          <w:tab/>
        </w:r>
        <w:r>
          <w:rPr>
            <w:noProof/>
            <w:webHidden/>
          </w:rPr>
          <w:fldChar w:fldCharType="begin"/>
        </w:r>
        <w:r>
          <w:rPr>
            <w:noProof/>
            <w:webHidden/>
          </w:rPr>
          <w:instrText xml:space="preserve"> PAGEREF _Toc221626818 \h </w:instrText>
        </w:r>
        <w:r>
          <w:rPr>
            <w:noProof/>
            <w:webHidden/>
          </w:rPr>
        </w:r>
        <w:r>
          <w:rPr>
            <w:noProof/>
            <w:webHidden/>
          </w:rPr>
          <w:fldChar w:fldCharType="separate"/>
        </w:r>
        <w:r>
          <w:rPr>
            <w:noProof/>
            <w:webHidden/>
          </w:rPr>
          <w:t>28</w:t>
        </w:r>
        <w:r>
          <w:rPr>
            <w:noProof/>
            <w:webHidden/>
          </w:rPr>
          <w:fldChar w:fldCharType="end"/>
        </w:r>
      </w:hyperlink>
    </w:p>
    <w:p w14:paraId="3433EF16" w14:textId="31E75892" w:rsidR="004E565F" w:rsidRDefault="004E565F">
      <w:pPr>
        <w:pStyle w:val="TOC1"/>
        <w:tabs>
          <w:tab w:val="right" w:leader="dot" w:pos="9016"/>
        </w:tabs>
        <w:rPr>
          <w:rFonts w:asciiTheme="minorHAnsi" w:eastAsiaTheme="minorEastAsia" w:hAnsiTheme="minorHAnsi"/>
          <w:noProof/>
          <w:szCs w:val="24"/>
          <w:lang w:eastAsia="en-GB"/>
        </w:rPr>
      </w:pPr>
      <w:hyperlink w:anchor="_Toc221626819" w:history="1">
        <w:r w:rsidRPr="00B3107C">
          <w:rPr>
            <w:rStyle w:val="Hyperlink"/>
            <w:rFonts w:cs="Arial"/>
            <w:noProof/>
          </w:rPr>
          <w:t>4. Case study: The Paris region</w:t>
        </w:r>
        <w:r>
          <w:rPr>
            <w:noProof/>
            <w:webHidden/>
          </w:rPr>
          <w:tab/>
        </w:r>
        <w:r>
          <w:rPr>
            <w:noProof/>
            <w:webHidden/>
          </w:rPr>
          <w:fldChar w:fldCharType="begin"/>
        </w:r>
        <w:r>
          <w:rPr>
            <w:noProof/>
            <w:webHidden/>
          </w:rPr>
          <w:instrText xml:space="preserve"> PAGEREF _Toc221626819 \h </w:instrText>
        </w:r>
        <w:r>
          <w:rPr>
            <w:noProof/>
            <w:webHidden/>
          </w:rPr>
        </w:r>
        <w:r>
          <w:rPr>
            <w:noProof/>
            <w:webHidden/>
          </w:rPr>
          <w:fldChar w:fldCharType="separate"/>
        </w:r>
        <w:r>
          <w:rPr>
            <w:noProof/>
            <w:webHidden/>
          </w:rPr>
          <w:t>41</w:t>
        </w:r>
        <w:r>
          <w:rPr>
            <w:noProof/>
            <w:webHidden/>
          </w:rPr>
          <w:fldChar w:fldCharType="end"/>
        </w:r>
      </w:hyperlink>
    </w:p>
    <w:p w14:paraId="4767DB4F" w14:textId="3DB9F94E" w:rsidR="004E565F" w:rsidRDefault="004E565F">
      <w:pPr>
        <w:pStyle w:val="TOC1"/>
        <w:tabs>
          <w:tab w:val="right" w:leader="dot" w:pos="9016"/>
        </w:tabs>
        <w:rPr>
          <w:rFonts w:asciiTheme="minorHAnsi" w:eastAsiaTheme="minorEastAsia" w:hAnsiTheme="minorHAnsi"/>
          <w:noProof/>
          <w:szCs w:val="24"/>
          <w:lang w:eastAsia="en-GB"/>
        </w:rPr>
      </w:pPr>
      <w:hyperlink w:anchor="_Toc221626820" w:history="1">
        <w:r w:rsidRPr="00B3107C">
          <w:rPr>
            <w:rStyle w:val="Hyperlink"/>
            <w:rFonts w:cs="Arial"/>
            <w:noProof/>
          </w:rPr>
          <w:t>5. Case study: Chandigarh</w:t>
        </w:r>
        <w:r>
          <w:rPr>
            <w:noProof/>
            <w:webHidden/>
          </w:rPr>
          <w:tab/>
        </w:r>
        <w:r>
          <w:rPr>
            <w:noProof/>
            <w:webHidden/>
          </w:rPr>
          <w:fldChar w:fldCharType="begin"/>
        </w:r>
        <w:r>
          <w:rPr>
            <w:noProof/>
            <w:webHidden/>
          </w:rPr>
          <w:instrText xml:space="preserve"> PAGEREF _Toc221626820 \h </w:instrText>
        </w:r>
        <w:r>
          <w:rPr>
            <w:noProof/>
            <w:webHidden/>
          </w:rPr>
        </w:r>
        <w:r>
          <w:rPr>
            <w:noProof/>
            <w:webHidden/>
          </w:rPr>
          <w:fldChar w:fldCharType="separate"/>
        </w:r>
        <w:r>
          <w:rPr>
            <w:noProof/>
            <w:webHidden/>
          </w:rPr>
          <w:t>59</w:t>
        </w:r>
        <w:r>
          <w:rPr>
            <w:noProof/>
            <w:webHidden/>
          </w:rPr>
          <w:fldChar w:fldCharType="end"/>
        </w:r>
      </w:hyperlink>
    </w:p>
    <w:p w14:paraId="76554801" w14:textId="1F3CB696" w:rsidR="004E565F" w:rsidRDefault="004E565F">
      <w:pPr>
        <w:pStyle w:val="TOC1"/>
        <w:tabs>
          <w:tab w:val="right" w:leader="dot" w:pos="9016"/>
        </w:tabs>
        <w:rPr>
          <w:rFonts w:asciiTheme="minorHAnsi" w:eastAsiaTheme="minorEastAsia" w:hAnsiTheme="minorHAnsi"/>
          <w:noProof/>
          <w:szCs w:val="24"/>
          <w:lang w:eastAsia="en-GB"/>
        </w:rPr>
      </w:pPr>
      <w:hyperlink w:anchor="_Toc221626821" w:history="1">
        <w:r w:rsidRPr="00B3107C">
          <w:rPr>
            <w:rStyle w:val="Hyperlink"/>
            <w:rFonts w:cs="Arial"/>
            <w:noProof/>
          </w:rPr>
          <w:t>6. Case study: Daybreak</w:t>
        </w:r>
        <w:r>
          <w:rPr>
            <w:noProof/>
            <w:webHidden/>
          </w:rPr>
          <w:tab/>
        </w:r>
        <w:r>
          <w:rPr>
            <w:noProof/>
            <w:webHidden/>
          </w:rPr>
          <w:fldChar w:fldCharType="begin"/>
        </w:r>
        <w:r>
          <w:rPr>
            <w:noProof/>
            <w:webHidden/>
          </w:rPr>
          <w:instrText xml:space="preserve"> PAGEREF _Toc221626821 \h </w:instrText>
        </w:r>
        <w:r>
          <w:rPr>
            <w:noProof/>
            <w:webHidden/>
          </w:rPr>
        </w:r>
        <w:r>
          <w:rPr>
            <w:noProof/>
            <w:webHidden/>
          </w:rPr>
          <w:fldChar w:fldCharType="separate"/>
        </w:r>
        <w:r>
          <w:rPr>
            <w:noProof/>
            <w:webHidden/>
          </w:rPr>
          <w:t>73</w:t>
        </w:r>
        <w:r>
          <w:rPr>
            <w:noProof/>
            <w:webHidden/>
          </w:rPr>
          <w:fldChar w:fldCharType="end"/>
        </w:r>
      </w:hyperlink>
    </w:p>
    <w:p w14:paraId="40B83431" w14:textId="55BB37B8" w:rsidR="004E565F" w:rsidRDefault="004E565F">
      <w:pPr>
        <w:pStyle w:val="TOC1"/>
        <w:tabs>
          <w:tab w:val="right" w:leader="dot" w:pos="9016"/>
        </w:tabs>
        <w:rPr>
          <w:rFonts w:asciiTheme="minorHAnsi" w:eastAsiaTheme="minorEastAsia" w:hAnsiTheme="minorHAnsi"/>
          <w:noProof/>
          <w:szCs w:val="24"/>
          <w:lang w:eastAsia="en-GB"/>
        </w:rPr>
      </w:pPr>
      <w:hyperlink w:anchor="_Toc221626822" w:history="1">
        <w:r w:rsidRPr="00B3107C">
          <w:rPr>
            <w:rStyle w:val="Hyperlink"/>
            <w:rFonts w:cs="Arial"/>
            <w:noProof/>
          </w:rPr>
          <w:t>7. Case study: Curitiba</w:t>
        </w:r>
        <w:r>
          <w:rPr>
            <w:noProof/>
            <w:webHidden/>
          </w:rPr>
          <w:tab/>
        </w:r>
        <w:r>
          <w:rPr>
            <w:noProof/>
            <w:webHidden/>
          </w:rPr>
          <w:fldChar w:fldCharType="begin"/>
        </w:r>
        <w:r>
          <w:rPr>
            <w:noProof/>
            <w:webHidden/>
          </w:rPr>
          <w:instrText xml:space="preserve"> PAGEREF _Toc221626822 \h </w:instrText>
        </w:r>
        <w:r>
          <w:rPr>
            <w:noProof/>
            <w:webHidden/>
          </w:rPr>
        </w:r>
        <w:r>
          <w:rPr>
            <w:noProof/>
            <w:webHidden/>
          </w:rPr>
          <w:fldChar w:fldCharType="separate"/>
        </w:r>
        <w:r>
          <w:rPr>
            <w:noProof/>
            <w:webHidden/>
          </w:rPr>
          <w:t>88</w:t>
        </w:r>
        <w:r>
          <w:rPr>
            <w:noProof/>
            <w:webHidden/>
          </w:rPr>
          <w:fldChar w:fldCharType="end"/>
        </w:r>
      </w:hyperlink>
    </w:p>
    <w:p w14:paraId="75B70FF1" w14:textId="08C53E45" w:rsidR="004E565F" w:rsidRDefault="004E565F">
      <w:pPr>
        <w:pStyle w:val="TOC1"/>
        <w:tabs>
          <w:tab w:val="right" w:leader="dot" w:pos="9016"/>
        </w:tabs>
        <w:rPr>
          <w:rFonts w:asciiTheme="minorHAnsi" w:eastAsiaTheme="minorEastAsia" w:hAnsiTheme="minorHAnsi"/>
          <w:noProof/>
          <w:szCs w:val="24"/>
          <w:lang w:eastAsia="en-GB"/>
        </w:rPr>
      </w:pPr>
      <w:hyperlink w:anchor="_Toc221626823" w:history="1">
        <w:r w:rsidRPr="00B3107C">
          <w:rPr>
            <w:rStyle w:val="Hyperlink"/>
            <w:noProof/>
          </w:rPr>
          <w:t>8. Synthesis of cross-cutting findings from case studies</w:t>
        </w:r>
        <w:r>
          <w:rPr>
            <w:noProof/>
            <w:webHidden/>
          </w:rPr>
          <w:tab/>
        </w:r>
        <w:r>
          <w:rPr>
            <w:noProof/>
            <w:webHidden/>
          </w:rPr>
          <w:fldChar w:fldCharType="begin"/>
        </w:r>
        <w:r>
          <w:rPr>
            <w:noProof/>
            <w:webHidden/>
          </w:rPr>
          <w:instrText xml:space="preserve"> PAGEREF _Toc221626823 \h </w:instrText>
        </w:r>
        <w:r>
          <w:rPr>
            <w:noProof/>
            <w:webHidden/>
          </w:rPr>
        </w:r>
        <w:r>
          <w:rPr>
            <w:noProof/>
            <w:webHidden/>
          </w:rPr>
          <w:fldChar w:fldCharType="separate"/>
        </w:r>
        <w:r>
          <w:rPr>
            <w:noProof/>
            <w:webHidden/>
          </w:rPr>
          <w:t>102</w:t>
        </w:r>
        <w:r>
          <w:rPr>
            <w:noProof/>
            <w:webHidden/>
          </w:rPr>
          <w:fldChar w:fldCharType="end"/>
        </w:r>
      </w:hyperlink>
    </w:p>
    <w:p w14:paraId="0AEB9015" w14:textId="1F9A8D73" w:rsidR="004E565F" w:rsidRDefault="004E565F">
      <w:pPr>
        <w:pStyle w:val="TOC1"/>
        <w:tabs>
          <w:tab w:val="right" w:leader="dot" w:pos="9016"/>
        </w:tabs>
        <w:rPr>
          <w:rFonts w:asciiTheme="minorHAnsi" w:eastAsiaTheme="minorEastAsia" w:hAnsiTheme="minorHAnsi"/>
          <w:noProof/>
          <w:szCs w:val="24"/>
          <w:lang w:eastAsia="en-GB"/>
        </w:rPr>
      </w:pPr>
      <w:hyperlink w:anchor="_Toc221626824" w:history="1">
        <w:r w:rsidRPr="00B3107C">
          <w:rPr>
            <w:rStyle w:val="Hyperlink"/>
            <w:rFonts w:eastAsia="Aptos"/>
            <w:noProof/>
          </w:rPr>
          <w:t>9. Conclusion and recommendations</w:t>
        </w:r>
        <w:r>
          <w:rPr>
            <w:noProof/>
            <w:webHidden/>
          </w:rPr>
          <w:tab/>
        </w:r>
        <w:r>
          <w:rPr>
            <w:noProof/>
            <w:webHidden/>
          </w:rPr>
          <w:fldChar w:fldCharType="begin"/>
        </w:r>
        <w:r>
          <w:rPr>
            <w:noProof/>
            <w:webHidden/>
          </w:rPr>
          <w:instrText xml:space="preserve"> PAGEREF _Toc221626824 \h </w:instrText>
        </w:r>
        <w:r>
          <w:rPr>
            <w:noProof/>
            <w:webHidden/>
          </w:rPr>
        </w:r>
        <w:r>
          <w:rPr>
            <w:noProof/>
            <w:webHidden/>
          </w:rPr>
          <w:fldChar w:fldCharType="separate"/>
        </w:r>
        <w:r>
          <w:rPr>
            <w:noProof/>
            <w:webHidden/>
          </w:rPr>
          <w:t>107</w:t>
        </w:r>
        <w:r>
          <w:rPr>
            <w:noProof/>
            <w:webHidden/>
          </w:rPr>
          <w:fldChar w:fldCharType="end"/>
        </w:r>
      </w:hyperlink>
    </w:p>
    <w:p w14:paraId="06BAC5C2" w14:textId="0A032F1A" w:rsidR="004B196F" w:rsidRPr="005D7EEC" w:rsidRDefault="00520B73" w:rsidP="00520B73">
      <w:pPr>
        <w:rPr>
          <w:rFonts w:eastAsiaTheme="majorEastAsia" w:cs="Arial"/>
          <w:b/>
          <w:color w:val="0F4761" w:themeColor="accent1" w:themeShade="BF"/>
          <w:sz w:val="28"/>
          <w:szCs w:val="40"/>
        </w:rPr>
      </w:pPr>
      <w:r w:rsidRPr="005D7EEC">
        <w:rPr>
          <w:rFonts w:cs="Arial"/>
        </w:rPr>
        <w:fldChar w:fldCharType="end"/>
      </w:r>
      <w:r w:rsidR="004B196F" w:rsidRPr="005D7EEC">
        <w:rPr>
          <w:rFonts w:cs="Arial"/>
        </w:rPr>
        <w:br w:type="page"/>
      </w:r>
    </w:p>
    <w:p w14:paraId="235F9491" w14:textId="386FC6B6" w:rsidR="00B65F88" w:rsidRPr="005D7EEC" w:rsidRDefault="0037114F" w:rsidP="0036491E">
      <w:pPr>
        <w:pStyle w:val="Heading1"/>
        <w:rPr>
          <w:rFonts w:cs="Arial"/>
        </w:rPr>
      </w:pPr>
      <w:bookmarkStart w:id="5" w:name="_Toc221626815"/>
      <w:r w:rsidRPr="005D7EEC">
        <w:rPr>
          <w:rFonts w:cs="Arial"/>
        </w:rPr>
        <w:lastRenderedPageBreak/>
        <w:t xml:space="preserve">Foreword and executive </w:t>
      </w:r>
      <w:r w:rsidR="00B65F88" w:rsidRPr="005D7EEC">
        <w:rPr>
          <w:rFonts w:cs="Arial"/>
        </w:rPr>
        <w:t>summary</w:t>
      </w:r>
      <w:bookmarkEnd w:id="5"/>
    </w:p>
    <w:p w14:paraId="22302836" w14:textId="6245922C" w:rsidR="5C57512A" w:rsidRPr="005D7EEC" w:rsidRDefault="00C80AC3" w:rsidP="00CE5506">
      <w:pPr>
        <w:pStyle w:val="Heading2"/>
        <w:rPr>
          <w:rFonts w:cs="Arial"/>
        </w:rPr>
      </w:pPr>
      <w:r w:rsidRPr="00C80AC3">
        <w:rPr>
          <w:rFonts w:cs="Arial"/>
        </w:rPr>
        <w:t xml:space="preserve">A new generation of new towns in England brings huge opportunities, but also </w:t>
      </w:r>
      <w:r w:rsidR="00BF3793">
        <w:rPr>
          <w:rFonts w:cs="Arial"/>
        </w:rPr>
        <w:t>risks</w:t>
      </w:r>
    </w:p>
    <w:p w14:paraId="0FA6CC0C" w14:textId="76E0C059" w:rsidR="00683078" w:rsidRPr="00683078" w:rsidRDefault="00683078" w:rsidP="008632AE">
      <w:r w:rsidRPr="00683078">
        <w:t xml:space="preserve">The publication of the New Town Taskforce’s </w:t>
      </w:r>
      <w:r w:rsidRPr="00683078">
        <w:rPr>
          <w:u w:val="single"/>
        </w:rPr>
        <w:t>Report to Government</w:t>
      </w:r>
      <w:r w:rsidR="00E736E0">
        <w:rPr>
          <w:rStyle w:val="EndnoteReference"/>
          <w:u w:val="single"/>
        </w:rPr>
        <w:endnoteReference w:id="2"/>
      </w:r>
      <w:r w:rsidRPr="00683078">
        <w:t xml:space="preserve"> in September 2025 may come to be seen as a pivotal moment in the history of planning in England. The Taskforce, set up by the UK Government in 2024 to advise on the creation of a new generation of new towns in England, proposed 12 new towns, and made 44 recommendations covering a wide range of issues. </w:t>
      </w:r>
    </w:p>
    <w:p w14:paraId="0CEEB46A" w14:textId="05083B39" w:rsidR="00683078" w:rsidRPr="00683078" w:rsidRDefault="00683078" w:rsidP="008632AE">
      <w:r w:rsidRPr="00683078">
        <w:t>The impact of these recommendations, and any developments that follow, could be huge - even if few of the sites recommended by the Taskforce would constitute genuinely new settlements.</w:t>
      </w:r>
      <w:r w:rsidR="008819DD">
        <w:rPr>
          <w:rStyle w:val="FootnoteReference"/>
        </w:rPr>
        <w:footnoteReference w:id="2"/>
      </w:r>
      <w:r w:rsidR="008819DD" w:rsidRPr="00683078">
        <w:t xml:space="preserve"> </w:t>
      </w:r>
      <w:r w:rsidRPr="00683078">
        <w:t>Indeed, ministers have sought to invoke the transformative power of the UK’s post-war new towns programme. But this scale of ambition brings both huge risks and opportunities</w:t>
      </w:r>
      <w:r w:rsidR="00E736E0">
        <w:rPr>
          <w:rStyle w:val="EndnoteReference"/>
        </w:rPr>
        <w:endnoteReference w:id="3"/>
      </w:r>
      <w:r w:rsidRPr="00683078">
        <w:t xml:space="preserve">. </w:t>
      </w:r>
    </w:p>
    <w:p w14:paraId="3C8C07FF" w14:textId="5C30BA02" w:rsidR="00683078" w:rsidRPr="00683078" w:rsidRDefault="00683078" w:rsidP="008632AE">
      <w:r w:rsidRPr="00683078">
        <w:t>On one hand, a new generation of new towns could drive national renewal and growth through sustainable, attractive and just development. They could provide homes for thousands of people over many decades, just as the UK’s post-war new towns are currently home to around 2.8 million people</w:t>
      </w:r>
      <w:r w:rsidR="00E736E0">
        <w:rPr>
          <w:rStyle w:val="EndnoteReference"/>
        </w:rPr>
        <w:endnoteReference w:id="4"/>
      </w:r>
      <w:r w:rsidRPr="00683078">
        <w:t xml:space="preserve">. </w:t>
      </w:r>
    </w:p>
    <w:p w14:paraId="631B9208" w14:textId="685359A3" w:rsidR="00683078" w:rsidRPr="00683078" w:rsidRDefault="00683078" w:rsidP="008632AE">
      <w:r w:rsidRPr="00683078">
        <w:t>On the other hand, if they are unsustainable, unpopular</w:t>
      </w:r>
      <w:r w:rsidR="002F6F1B">
        <w:t>,</w:t>
      </w:r>
      <w:r w:rsidRPr="00683078">
        <w:t xml:space="preserve"> or fail to meet expectations, new towns could bring significant environmental, economic, and social costs. The </w:t>
      </w:r>
      <w:r w:rsidRPr="00683078">
        <w:lastRenderedPageBreak/>
        <w:t xml:space="preserve">popular perception of planning, and the nation’s wider ability to imagine then bring into being better places, is also on the line. </w:t>
      </w:r>
    </w:p>
    <w:p w14:paraId="33BE394A" w14:textId="6CB59DF9" w:rsidR="00683078" w:rsidRPr="00683078" w:rsidRDefault="00683078" w:rsidP="008632AE">
      <w:r w:rsidRPr="00683078">
        <w:t xml:space="preserve">Indeed, the post-war new towns are not without their critics or flaws. There is a popular perception that the post-war new towns were ‘frozen in time’, and that their plans embedded </w:t>
      </w:r>
      <w:r w:rsidR="00AB5CC0">
        <w:t>dated</w:t>
      </w:r>
      <w:r w:rsidRPr="00683078">
        <w:t xml:space="preserve"> assumptions about how people would live, work, move around and play. As a result, they have failed to keep up with their populations’ changing needs. </w:t>
      </w:r>
    </w:p>
    <w:p w14:paraId="3BEC7C1C" w14:textId="77777777" w:rsidR="00AB5CC0" w:rsidRDefault="00AB5CC0" w:rsidP="008632AE">
      <w:r w:rsidRPr="00AB5CC0">
        <w:t>Whether or not this critique is entirely fair, there is important work to do to ensure that the new generation of new towns does not befall this fate - perceived or actual.</w:t>
      </w:r>
    </w:p>
    <w:p w14:paraId="5F08BC27" w14:textId="234C29CE" w:rsidR="0076047C" w:rsidRPr="0076047C" w:rsidRDefault="0076047C" w:rsidP="008632AE">
      <w:r w:rsidRPr="0076047C">
        <w:t xml:space="preserve">That is what this report – as part of the Royal Town Planning Institute’s </w:t>
      </w:r>
      <w:r w:rsidRPr="00A50C08">
        <w:t>Futureproof New Towns project</w:t>
      </w:r>
      <w:r w:rsidRPr="0076047C">
        <w:t xml:space="preserve">, focuses on. It aims to answer the question ‘how can decision makers ensure that the next wave of new towns in England are flexible and adaptable’? </w:t>
      </w:r>
    </w:p>
    <w:p w14:paraId="6D271395" w14:textId="77777777" w:rsidR="0076047C" w:rsidRPr="0076047C" w:rsidRDefault="0076047C" w:rsidP="008632AE">
      <w:pPr>
        <w:pStyle w:val="Heading2"/>
      </w:pPr>
      <w:r w:rsidRPr="0076047C">
        <w:t xml:space="preserve">This report – lessons on flexibility and adaptability from around the world </w:t>
      </w:r>
    </w:p>
    <w:p w14:paraId="0F273F28" w14:textId="77777777" w:rsidR="0076047C" w:rsidRPr="0076047C" w:rsidRDefault="0076047C" w:rsidP="008632AE">
      <w:r w:rsidRPr="0076047C">
        <w:t xml:space="preserve">The last post-war English new towns was designated 1970, but around the world new settlements continue to be built, expanded or regenerated. This report draws on six international case studies of new towns which have adapted, to varying degrees of success, to the challenges facing them and their communities in the twenty first century. </w:t>
      </w:r>
    </w:p>
    <w:p w14:paraId="6FAE971A" w14:textId="77777777" w:rsidR="0076047C" w:rsidRPr="0076047C" w:rsidRDefault="0076047C" w:rsidP="008632AE">
      <w:r w:rsidRPr="0076047C">
        <w:t xml:space="preserve">Those case studies - Almere in the Netherlands, Freiburg in Germany, the Paris region in France, Chandigarh in India, Daybreak in Utah (USA) and Curitiba in Brazil - provide a rich repository of lessons, highlighting that planners and planning are key to delivering successful, flexible and adaptable new settlements. These cases provide powerful narratives and learning in their own rights, and can be read as standalone contributions. </w:t>
      </w:r>
    </w:p>
    <w:p w14:paraId="2D554569" w14:textId="19F7F6BB" w:rsidR="0076047C" w:rsidRDefault="0076047C" w:rsidP="008632AE">
      <w:r w:rsidRPr="0076047C">
        <w:t>The research is also clear that the UK absolutely has the capacity to deliver places like this, but to do so on a consistent basis policy makers must learn lessons from</w:t>
      </w:r>
      <w:r>
        <w:t xml:space="preserve"> </w:t>
      </w:r>
      <w:r w:rsidRPr="0076047C">
        <w:lastRenderedPageBreak/>
        <w:t xml:space="preserve">these international examples. Those lessons include the need for a consistency of approach to planning policy, a clear recognition of the importance of partnerships, the importance of using </w:t>
      </w:r>
      <w:proofErr w:type="spellStart"/>
      <w:r w:rsidRPr="0076047C">
        <w:t>masterplanning</w:t>
      </w:r>
      <w:proofErr w:type="spellEnd"/>
      <w:r w:rsidRPr="0076047C">
        <w:t xml:space="preserve"> to offer a clear but flexible vision, the benefits which can flow from strong community involvement, the importance of land assembly and capture of land value, the criticality of linking land-use and transport planning, and the benefits of diverse housing tenure and land use within new communities.</w:t>
      </w:r>
    </w:p>
    <w:p w14:paraId="1D97FC1F" w14:textId="77777777" w:rsidR="0076047C" w:rsidRPr="0076047C" w:rsidRDefault="0076047C" w:rsidP="008632AE">
      <w:r w:rsidRPr="0076047C">
        <w:t xml:space="preserve">The report concludes with five high-level recommendations for policymakers. These are: </w:t>
      </w:r>
    </w:p>
    <w:p w14:paraId="6AAFFFB6" w14:textId="4BE54D71" w:rsidR="0076047C" w:rsidRPr="0076047C" w:rsidRDefault="0076047C" w:rsidP="00A50C08">
      <w:pPr>
        <w:pStyle w:val="ListParagraph"/>
        <w:numPr>
          <w:ilvl w:val="0"/>
          <w:numId w:val="38"/>
        </w:numPr>
        <w:ind w:left="714" w:hanging="357"/>
      </w:pPr>
      <w:r w:rsidRPr="0076047C">
        <w:t xml:space="preserve">Ensure that planning policy is consistent over time; </w:t>
      </w:r>
    </w:p>
    <w:p w14:paraId="7CF1C9C5" w14:textId="37B2358C" w:rsidR="0076047C" w:rsidRPr="0076047C" w:rsidRDefault="0076047C" w:rsidP="00A50C08">
      <w:pPr>
        <w:pStyle w:val="ListParagraph"/>
        <w:numPr>
          <w:ilvl w:val="0"/>
          <w:numId w:val="38"/>
        </w:numPr>
        <w:ind w:left="714" w:hanging="357"/>
      </w:pPr>
      <w:r w:rsidRPr="0076047C">
        <w:t xml:space="preserve">Harness the path shaping powers of planning, but avoid path dependency; </w:t>
      </w:r>
    </w:p>
    <w:p w14:paraId="62D696E8" w14:textId="53AE3D6C" w:rsidR="0076047C" w:rsidRPr="0076047C" w:rsidRDefault="0076047C" w:rsidP="00A50C08">
      <w:pPr>
        <w:pStyle w:val="ListParagraph"/>
        <w:numPr>
          <w:ilvl w:val="0"/>
          <w:numId w:val="38"/>
        </w:numPr>
        <w:ind w:left="714" w:hanging="357"/>
      </w:pPr>
      <w:r w:rsidRPr="0076047C">
        <w:t xml:space="preserve">Go beyond the plan – the importance of ‘urban management’ and setting up partnerships for delivery; </w:t>
      </w:r>
    </w:p>
    <w:p w14:paraId="5D68245C" w14:textId="1E6F8D13" w:rsidR="0076047C" w:rsidRPr="0076047C" w:rsidRDefault="0076047C" w:rsidP="00A50C08">
      <w:pPr>
        <w:pStyle w:val="ListParagraph"/>
        <w:numPr>
          <w:ilvl w:val="0"/>
          <w:numId w:val="38"/>
        </w:numPr>
        <w:ind w:left="714" w:hanging="357"/>
      </w:pPr>
      <w:r w:rsidRPr="0076047C">
        <w:t xml:space="preserve">Transport and land use planning must be integrated; and </w:t>
      </w:r>
    </w:p>
    <w:p w14:paraId="1D9DC08C" w14:textId="369339BC" w:rsidR="00683078" w:rsidRDefault="0076047C" w:rsidP="00A50C08">
      <w:pPr>
        <w:pStyle w:val="ListParagraph"/>
        <w:numPr>
          <w:ilvl w:val="0"/>
          <w:numId w:val="38"/>
        </w:numPr>
        <w:ind w:left="714" w:hanging="357"/>
      </w:pPr>
      <w:r w:rsidRPr="0076047C">
        <w:t>Mixed land uses and tenures lead to better outcomes, and supporting community-led models of development can build support.</w:t>
      </w:r>
    </w:p>
    <w:p w14:paraId="27D8179E" w14:textId="77777777" w:rsidR="008632AE" w:rsidRPr="008632AE" w:rsidRDefault="008632AE" w:rsidP="00A50C08">
      <w:pPr>
        <w:pStyle w:val="Heading2"/>
      </w:pPr>
      <w:r w:rsidRPr="008632AE">
        <w:t xml:space="preserve">Seizing the moment </w:t>
      </w:r>
    </w:p>
    <w:p w14:paraId="280ED880" w14:textId="2666DCC0" w:rsidR="008632AE" w:rsidRPr="008632AE" w:rsidRDefault="008632AE" w:rsidP="008632AE">
      <w:r w:rsidRPr="008632AE">
        <w:t>Both the risks and opportunities associated with delivering a new generation of new towns are profound. But if they are planned and built to be flexible, adaptable, sustainable, led-by communities and with a genuine focus on place making, they could be transformative - both for the lives of their residents and for the UK. The recommendations put forwards by this report aim to support this outcome.</w:t>
      </w:r>
    </w:p>
    <w:p w14:paraId="5C9460A5" w14:textId="74629B30" w:rsidR="008632AE" w:rsidRPr="008632AE" w:rsidRDefault="008632AE" w:rsidP="008632AE">
      <w:r w:rsidRPr="008632AE">
        <w:t xml:space="preserve">Stepping back, the current policy ‘moment’ is important in another, perhaps less tangible, way. The sweeping, system-wide, but pragmatic findings of the New Towns Task Force, the rich and instructive stories that emerge from the case studies in this report, and the huge media interest in new towns all point to it. This is that the current moment provides a rare opportunity to revisit the fundamentals of what good planning looks like on a grand scale, and what is achievable with real imagination and ambition. </w:t>
      </w:r>
    </w:p>
    <w:p w14:paraId="43AD15AA" w14:textId="434C71FB" w:rsidR="008632AE" w:rsidRDefault="008632AE" w:rsidP="008632AE">
      <w:r w:rsidRPr="008632AE">
        <w:rPr>
          <w:b/>
          <w:bCs/>
        </w:rPr>
        <w:lastRenderedPageBreak/>
        <w:t>Dr Daniel Slade MRTPI</w:t>
      </w:r>
      <w:r w:rsidRPr="008632AE">
        <w:t>, RTPI Head of Practice and Research.</w:t>
      </w:r>
    </w:p>
    <w:p w14:paraId="6830A529" w14:textId="77777777" w:rsidR="00420C98" w:rsidRDefault="00420C98">
      <w:pPr>
        <w:spacing w:after="120" w:line="276" w:lineRule="auto"/>
        <w:rPr>
          <w:rFonts w:eastAsia="MS Gothic" w:cs="Arial"/>
          <w:b/>
          <w:bCs/>
          <w:noProof/>
          <w:color w:val="012E64"/>
          <w:kern w:val="0"/>
          <w:szCs w:val="24"/>
          <w:lang w:eastAsia="en-GB"/>
        </w:rPr>
      </w:pPr>
      <w:r>
        <w:rPr>
          <w:rFonts w:cs="Arial"/>
        </w:rPr>
        <w:br w:type="page"/>
      </w:r>
    </w:p>
    <w:p w14:paraId="114555BA" w14:textId="7B863F20" w:rsidR="00420C98" w:rsidRPr="005D7EEC" w:rsidRDefault="00420C98" w:rsidP="00420C98">
      <w:pPr>
        <w:pStyle w:val="Heading2"/>
        <w:rPr>
          <w:rFonts w:cs="Arial"/>
        </w:rPr>
        <w:sectPr w:rsidR="00420C98" w:rsidRPr="005D7EEC" w:rsidSect="00420C98">
          <w:headerReference w:type="default" r:id="rId12"/>
          <w:footerReference w:type="default" r:id="rId13"/>
          <w:footnotePr>
            <w:numFmt w:val="chicago"/>
          </w:footnotePr>
          <w:endnotePr>
            <w:numFmt w:val="decimal"/>
          </w:endnotePr>
          <w:pgSz w:w="11906" w:h="16838"/>
          <w:pgMar w:top="1440" w:right="1440" w:bottom="1440" w:left="1440" w:header="708" w:footer="741" w:gutter="0"/>
          <w:cols w:space="708"/>
          <w:docGrid w:linePitch="360"/>
        </w:sectPr>
      </w:pPr>
      <w:r w:rsidRPr="005D7EEC">
        <w:rPr>
          <w:rFonts w:cs="Arial"/>
        </w:rPr>
        <w:lastRenderedPageBreak/>
        <w:t>Reference</w:t>
      </w:r>
      <w:r>
        <w:rPr>
          <w:rFonts w:cs="Arial"/>
        </w:rPr>
        <w:t>s</w:t>
      </w:r>
    </w:p>
    <w:p w14:paraId="57B80FB4" w14:textId="77777777" w:rsidR="00156532" w:rsidRPr="00873367" w:rsidRDefault="00156532" w:rsidP="00156532">
      <w:pPr>
        <w:pStyle w:val="Heading1"/>
        <w:spacing w:line="276" w:lineRule="auto"/>
      </w:pPr>
      <w:bookmarkStart w:id="6" w:name="_Toc220349520"/>
      <w:bookmarkStart w:id="7" w:name="_Toc221626816"/>
      <w:r>
        <w:lastRenderedPageBreak/>
        <w:t xml:space="preserve">1. </w:t>
      </w:r>
      <w:r w:rsidRPr="00873367">
        <w:t>Introduction</w:t>
      </w:r>
      <w:bookmarkEnd w:id="6"/>
      <w:bookmarkEnd w:id="7"/>
    </w:p>
    <w:p w14:paraId="4B3F4960" w14:textId="77777777" w:rsidR="00156532" w:rsidRDefault="00156532" w:rsidP="00156532">
      <w:pPr>
        <w:pStyle w:val="Heading2"/>
      </w:pPr>
      <w:r>
        <w:t>1.1 The need for futureproof new towns in England</w:t>
      </w:r>
    </w:p>
    <w:p w14:paraId="55EED1AC" w14:textId="77777777" w:rsidR="00156532" w:rsidRPr="00873367" w:rsidRDefault="00156532" w:rsidP="00156532">
      <w:r w:rsidRPr="00873367">
        <w:t xml:space="preserve">In September 2024, in order to </w:t>
      </w:r>
      <w:r w:rsidRPr="00436672">
        <w:t xml:space="preserve">contribute to its ambitious target of building </w:t>
      </w:r>
      <w:r w:rsidRPr="008254B0">
        <w:t>1.5 million new homes</w:t>
      </w:r>
      <w:r w:rsidRPr="00873367">
        <w:t xml:space="preserve"> in England over this parliament, the UK Government </w:t>
      </w:r>
      <w:r>
        <w:t>established</w:t>
      </w:r>
      <w:r w:rsidRPr="00873367">
        <w:t xml:space="preserve"> the </w:t>
      </w:r>
      <w:hyperlink r:id="rId14" w:history="1">
        <w:r w:rsidRPr="00873367">
          <w:rPr>
            <w:rStyle w:val="Hyperlink"/>
          </w:rPr>
          <w:t>New Towns Taskforce</w:t>
        </w:r>
      </w:hyperlink>
      <w:r w:rsidRPr="00873367">
        <w:t>, an independent panel to “support the next generation of new towns”. In its final report, published in late September 2025, the Taskforce sets out a strong rationale for new towns to make a significant contribution to “some of the most pressing challenges facing the country today”</w:t>
      </w:r>
      <w:r w:rsidRPr="00873367">
        <w:rPr>
          <w:vertAlign w:val="superscript"/>
        </w:rPr>
        <w:endnoteReference w:id="5"/>
      </w:r>
      <w:r w:rsidRPr="00873367">
        <w:t xml:space="preserve">. </w:t>
      </w:r>
    </w:p>
    <w:p w14:paraId="45EE9F9B" w14:textId="77777777" w:rsidR="00156532" w:rsidRPr="00873367" w:rsidRDefault="00156532" w:rsidP="00156532">
      <w:r w:rsidRPr="00873367">
        <w:t xml:space="preserve">New communities with a distinct identity have particular benefits in addressing </w:t>
      </w:r>
      <w:r>
        <w:t>current policy</w:t>
      </w:r>
      <w:r w:rsidRPr="00873367">
        <w:t xml:space="preserve"> challenges – they can be planned strategically, with infrastructure provided up front or alongside new housing and jobs provision</w:t>
      </w:r>
      <w:r>
        <w:t>.</w:t>
      </w:r>
      <w:r w:rsidRPr="00873367">
        <w:t xml:space="preserve"> </w:t>
      </w:r>
      <w:r>
        <w:t>P</w:t>
      </w:r>
      <w:r w:rsidRPr="00873367">
        <w:t>ublic space and green</w:t>
      </w:r>
      <w:r>
        <w:t xml:space="preserve"> or </w:t>
      </w:r>
      <w:r w:rsidRPr="00873367">
        <w:t xml:space="preserve">blue infrastructure </w:t>
      </w:r>
      <w:r>
        <w:t>can</w:t>
      </w:r>
      <w:r w:rsidRPr="00873367">
        <w:t xml:space="preserve"> be woven into the design</w:t>
      </w:r>
      <w:r>
        <w:t>,</w:t>
      </w:r>
      <w:r w:rsidRPr="00873367">
        <w:t xml:space="preserve"> and from the outset a mixed use approach can be implemented to make communities more resilient and adaptable to future challenges</w:t>
      </w:r>
      <w:r>
        <w:t>,</w:t>
      </w:r>
      <w:r w:rsidRPr="00873367">
        <w:t xml:space="preserve"> including climate change.</w:t>
      </w:r>
    </w:p>
    <w:p w14:paraId="6E6DDB44" w14:textId="77777777" w:rsidR="00156532" w:rsidRPr="00873367" w:rsidRDefault="00156532" w:rsidP="00156532">
      <w:r w:rsidRPr="00873367">
        <w:t>The language has of course changed, but</w:t>
      </w:r>
      <w:r w:rsidRPr="003C3732">
        <w:t xml:space="preserve"> a recognition of the need for </w:t>
      </w:r>
      <w:r w:rsidRPr="008254B0">
        <w:t>strong intervention</w:t>
      </w:r>
      <w:r w:rsidRPr="003C3732">
        <w:t xml:space="preserve"> and </w:t>
      </w:r>
      <w:r w:rsidRPr="008254B0">
        <w:t>the benefits of new communities</w:t>
      </w:r>
      <w:r w:rsidRPr="003C3732">
        <w:t xml:space="preserve"> has been</w:t>
      </w:r>
      <w:r w:rsidRPr="00873367">
        <w:t xml:space="preserve"> a feature of planning as it has developed as a profession and a discipline from the </w:t>
      </w:r>
      <w:r>
        <w:t>n</w:t>
      </w:r>
      <w:r w:rsidRPr="00873367">
        <w:t xml:space="preserve">ineteenth </w:t>
      </w:r>
      <w:r>
        <w:t>c</w:t>
      </w:r>
      <w:r w:rsidRPr="00873367">
        <w:t xml:space="preserve">entury onwards. In the UK alone these include </w:t>
      </w:r>
      <w:r>
        <w:t>‘</w:t>
      </w:r>
      <w:r w:rsidRPr="00873367">
        <w:t>model villages</w:t>
      </w:r>
      <w:r>
        <w:t>’</w:t>
      </w:r>
      <w:r w:rsidRPr="00873367">
        <w:t xml:space="preserve"> such as Port Sunlight and Bournville, through the garden cities inspired by the ideas of Ebenezer Howard, to the programme of new towns instituted following the Second World War. </w:t>
      </w:r>
    </w:p>
    <w:p w14:paraId="0781B75E" w14:textId="6529DCEB" w:rsidR="00156532" w:rsidRPr="00873367" w:rsidRDefault="00156532" w:rsidP="00156532">
      <w:r w:rsidRPr="00873367">
        <w:t xml:space="preserve">This experimentation was replicated worldwide, and a recognition of the need to take urgent action to address contemporary problems is likewise not confined to the UK. In many parts of the world there is </w:t>
      </w:r>
      <w:hyperlink r:id="rId15" w:history="1">
        <w:r w:rsidRPr="00873367">
          <w:rPr>
            <w:rStyle w:val="Hyperlink"/>
          </w:rPr>
          <w:t>a shortage of good quality new homes built in the right places</w:t>
        </w:r>
      </w:hyperlink>
      <w:r w:rsidRPr="00873367">
        <w:rPr>
          <w:vertAlign w:val="superscript"/>
        </w:rPr>
        <w:endnoteReference w:id="6"/>
      </w:r>
      <w:r>
        <w:t>, and</w:t>
      </w:r>
      <w:r w:rsidRPr="00873367">
        <w:t xml:space="preserve"> </w:t>
      </w:r>
      <w:r>
        <w:t>t</w:t>
      </w:r>
      <w:r w:rsidRPr="00873367">
        <w:t xml:space="preserve">he United Nations Human Settlements Programme estimates that </w:t>
      </w:r>
      <w:hyperlink r:id="rId16" w:history="1">
        <w:r w:rsidRPr="00873367">
          <w:rPr>
            <w:rStyle w:val="Hyperlink"/>
          </w:rPr>
          <w:t>between 1.6 billion and 3 billion people lack adequate housing</w:t>
        </w:r>
      </w:hyperlink>
      <w:r w:rsidRPr="00873367">
        <w:rPr>
          <w:vertAlign w:val="superscript"/>
        </w:rPr>
        <w:endnoteReference w:id="7"/>
      </w:r>
      <w:r w:rsidRPr="00873367">
        <w:t xml:space="preserve">. </w:t>
      </w:r>
      <w:r>
        <w:t>With this in mind, a</w:t>
      </w:r>
      <w:r w:rsidRPr="00873367">
        <w:t xml:space="preserve"> parallel report to this one</w:t>
      </w:r>
      <w:r>
        <w:t xml:space="preserve">, </w:t>
      </w:r>
      <w:r w:rsidRPr="00156532">
        <w:t>Futureproof New Towns</w:t>
      </w:r>
      <w:r w:rsidR="00D541C7">
        <w:t>:</w:t>
      </w:r>
      <w:r w:rsidRPr="00156532">
        <w:t xml:space="preserve"> Planning Global 4</w:t>
      </w:r>
      <w:r w:rsidR="00D541C7">
        <w:t xml:space="preserve"> –</w:t>
      </w:r>
      <w:r w:rsidRPr="00156532">
        <w:t xml:space="preserve"> How to Build a New Generation of Flexible and Adaptable New Settlements Around the World,</w:t>
      </w:r>
      <w:r>
        <w:t xml:space="preserve"> draws on the same case studies that are presented here to explore lessons on flexibility and adaptability for an international audience</w:t>
      </w:r>
      <w:r w:rsidRPr="00150B06">
        <w:t>.</w:t>
      </w:r>
    </w:p>
    <w:p w14:paraId="166447C6" w14:textId="77777777" w:rsidR="00156532" w:rsidRDefault="00156532" w:rsidP="00156532">
      <w:pPr>
        <w:rPr>
          <w:highlight w:val="yellow"/>
        </w:rPr>
      </w:pPr>
      <w:r w:rsidRPr="00156532">
        <w:lastRenderedPageBreak/>
        <w:t>Both of these reports are part of the Futureproof New Towns research project, commissioned by the Royal Town Planning Institute. This project has drawn</w:t>
      </w:r>
      <w:r>
        <w:t xml:space="preserve"> lessons from new towns around the world on how to ensure that the next generation in England and elsewhere are adaptable, flexible, and evolve over time to meet communities’ changing needs in an uncertain age.</w:t>
      </w:r>
    </w:p>
    <w:p w14:paraId="20223A5E" w14:textId="77777777" w:rsidR="00156532" w:rsidRPr="00873367" w:rsidRDefault="00156532" w:rsidP="00156532">
      <w:pPr>
        <w:pStyle w:val="Heading2"/>
      </w:pPr>
      <w:r>
        <w:t>1.2 Addressing the mixed reputation of the post-war new towns</w:t>
      </w:r>
    </w:p>
    <w:p w14:paraId="5C25EDE8" w14:textId="11007CB6" w:rsidR="00156532" w:rsidRDefault="00156532" w:rsidP="00156532">
      <w:r w:rsidRPr="00873367">
        <w:t xml:space="preserve">The </w:t>
      </w:r>
      <w:r>
        <w:t>findings of these reports are important</w:t>
      </w:r>
      <w:r w:rsidRPr="00873367">
        <w:t xml:space="preserve"> in part because of negative </w:t>
      </w:r>
      <w:r w:rsidR="00D727AF">
        <w:t xml:space="preserve">public </w:t>
      </w:r>
      <w:r w:rsidRPr="00873367">
        <w:t>perceptions of new towns, particularly those built in the post-war years in the UK. A great deal of valuable research has been undertaken into those new towns</w:t>
      </w:r>
      <w:r w:rsidRPr="00873367">
        <w:rPr>
          <w:vertAlign w:val="superscript"/>
        </w:rPr>
        <w:endnoteReference w:id="8"/>
      </w:r>
      <w:r w:rsidRPr="00873367">
        <w:t xml:space="preserve">, and there is no doubt that they were a significant achievement in a time of great change. They transformed living standards, and more than 2.8 million people currently call them home. But they have, at best, a mixed reputation – an </w:t>
      </w:r>
      <w:hyperlink r:id="rId17" w:history="1">
        <w:r w:rsidRPr="00873367">
          <w:rPr>
            <w:rStyle w:val="Hyperlink"/>
          </w:rPr>
          <w:t>RTPI and YouGov survey</w:t>
        </w:r>
      </w:hyperlink>
      <w:r w:rsidRPr="00873367">
        <w:t xml:space="preserve"> published to accompany the </w:t>
      </w:r>
      <w:hyperlink r:id="rId18" w:history="1">
        <w:r w:rsidRPr="00156532">
          <w:rPr>
            <w:rStyle w:val="Hyperlink"/>
          </w:rPr>
          <w:t>interim report</w:t>
        </w:r>
      </w:hyperlink>
      <w:r w:rsidRPr="00873367">
        <w:t xml:space="preserve"> of this research found that the UK public most often associate negative terms with the </w:t>
      </w:r>
      <w:r>
        <w:t>post-war</w:t>
      </w:r>
      <w:r w:rsidRPr="00873367">
        <w:t xml:space="preserve"> new towns – words such as </w:t>
      </w:r>
      <w:r>
        <w:t>‘</w:t>
      </w:r>
      <w:r w:rsidRPr="00873367">
        <w:t>concrete</w:t>
      </w:r>
      <w:r>
        <w:t>’</w:t>
      </w:r>
      <w:r w:rsidRPr="00873367">
        <w:t xml:space="preserve">, </w:t>
      </w:r>
      <w:r>
        <w:t>‘</w:t>
      </w:r>
      <w:r w:rsidRPr="00873367">
        <w:t>boring</w:t>
      </w:r>
      <w:r>
        <w:t>’</w:t>
      </w:r>
      <w:r w:rsidRPr="00873367">
        <w:t xml:space="preserve">, and </w:t>
      </w:r>
      <w:r>
        <w:t>‘</w:t>
      </w:r>
      <w:r w:rsidRPr="00873367">
        <w:t>soulless</w:t>
      </w:r>
      <w:r>
        <w:t>’</w:t>
      </w:r>
      <w:r w:rsidRPr="00873367">
        <w:t>. The survey also found a troubling lack of confidence that the next generation of new towns will be any better in meeting the needs of today, or the future.</w:t>
      </w:r>
    </w:p>
    <w:p w14:paraId="3624BB3E" w14:textId="77777777" w:rsidR="00156532" w:rsidRPr="00873367" w:rsidRDefault="00156532" w:rsidP="00156532">
      <w:r w:rsidRPr="00873367">
        <w:t>It is essential</w:t>
      </w:r>
      <w:r>
        <w:t>,</w:t>
      </w:r>
      <w:r w:rsidRPr="00873367">
        <w:t xml:space="preserve"> then</w:t>
      </w:r>
      <w:r>
        <w:t>,</w:t>
      </w:r>
      <w:r w:rsidRPr="00873367">
        <w:t xml:space="preserve"> that in order to make a major contributor to meeting housing need in a coherent, sustainable and well-planned way, as we know that new communities can, those responsible for delivering new communities in England are able to avoid the mistakes of the past and learn from what has been done elsewhere. </w:t>
      </w:r>
    </w:p>
    <w:p w14:paraId="3A300AD2" w14:textId="77777777" w:rsidR="00156532" w:rsidRDefault="00156532" w:rsidP="00156532">
      <w:pPr>
        <w:pStyle w:val="Heading2"/>
      </w:pPr>
      <w:r>
        <w:t>1.3 Lessons in flexibility and adaptability from around the world</w:t>
      </w:r>
    </w:p>
    <w:p w14:paraId="601BF733" w14:textId="77777777" w:rsidR="00156532" w:rsidRDefault="00156532" w:rsidP="00156532">
      <w:r w:rsidRPr="00873367">
        <w:t xml:space="preserve">This report sits alongside the work of the New Towns Taskforce, which has its own recommendations about what needs to be done, often drawing upon learning from the UK. To complement this, we have looked in-depth at </w:t>
      </w:r>
      <w:r w:rsidRPr="00361793">
        <w:t xml:space="preserve">six </w:t>
      </w:r>
      <w:r w:rsidRPr="00E47466">
        <w:t>case studies</w:t>
      </w:r>
      <w:r w:rsidRPr="00361793">
        <w:t xml:space="preserve"> from</w:t>
      </w:r>
      <w:r w:rsidRPr="00873367">
        <w:t xml:space="preserve"> around the world. </w:t>
      </w:r>
    </w:p>
    <w:p w14:paraId="2BE7425C" w14:textId="77777777" w:rsidR="00156532" w:rsidRPr="00873367" w:rsidRDefault="00156532" w:rsidP="00156532">
      <w:r w:rsidRPr="00873367">
        <w:lastRenderedPageBreak/>
        <w:t>Those case studies, discussed below, vary in size and scope, and reflect the recognition in the Task Force’s report that new towns, in today’s context, will not only be standalone green field developments, but will also include urban extensions and the large-scale redevelopment of inner urban areas.</w:t>
      </w:r>
    </w:p>
    <w:p w14:paraId="61E98D4D" w14:textId="77777777" w:rsidR="00156532" w:rsidRPr="00873367" w:rsidRDefault="00156532" w:rsidP="00156532">
      <w:r w:rsidRPr="00873367">
        <w:t>Our six case studies are:</w:t>
      </w:r>
    </w:p>
    <w:p w14:paraId="57DEA08F" w14:textId="77777777" w:rsidR="00156532" w:rsidRPr="00873367" w:rsidRDefault="00156532" w:rsidP="001C257D">
      <w:pPr>
        <w:pStyle w:val="ListParagraph"/>
        <w:numPr>
          <w:ilvl w:val="0"/>
          <w:numId w:val="39"/>
        </w:numPr>
      </w:pPr>
      <w:r w:rsidRPr="00873367">
        <w:t>Almere (Netherlands)</w:t>
      </w:r>
      <w:r>
        <w:t>;</w:t>
      </w:r>
    </w:p>
    <w:p w14:paraId="12C262C5" w14:textId="77777777" w:rsidR="00156532" w:rsidRPr="00873367" w:rsidRDefault="00156532" w:rsidP="001C257D">
      <w:pPr>
        <w:pStyle w:val="ListParagraph"/>
        <w:numPr>
          <w:ilvl w:val="0"/>
          <w:numId w:val="39"/>
        </w:numPr>
      </w:pPr>
      <w:r w:rsidRPr="00873367">
        <w:t>Freiburg (Germany)</w:t>
      </w:r>
      <w:r>
        <w:t>;</w:t>
      </w:r>
    </w:p>
    <w:p w14:paraId="4653EAB8" w14:textId="77777777" w:rsidR="00156532" w:rsidRPr="00873367" w:rsidRDefault="00156532" w:rsidP="001C257D">
      <w:pPr>
        <w:pStyle w:val="ListParagraph"/>
        <w:numPr>
          <w:ilvl w:val="0"/>
          <w:numId w:val="39"/>
        </w:numPr>
      </w:pPr>
      <w:r w:rsidRPr="00873367">
        <w:t>The Paris region (France)</w:t>
      </w:r>
      <w:r>
        <w:t>;</w:t>
      </w:r>
    </w:p>
    <w:p w14:paraId="1C6075CE" w14:textId="77777777" w:rsidR="00156532" w:rsidRPr="00873367" w:rsidRDefault="00156532" w:rsidP="001C257D">
      <w:pPr>
        <w:pStyle w:val="ListParagraph"/>
        <w:numPr>
          <w:ilvl w:val="0"/>
          <w:numId w:val="39"/>
        </w:numPr>
      </w:pPr>
      <w:r w:rsidRPr="00873367">
        <w:t>Chandigarh (India)</w:t>
      </w:r>
      <w:r>
        <w:t>;</w:t>
      </w:r>
    </w:p>
    <w:p w14:paraId="3B9414F6" w14:textId="77777777" w:rsidR="00156532" w:rsidRPr="00873367" w:rsidRDefault="00156532" w:rsidP="001C257D">
      <w:pPr>
        <w:pStyle w:val="ListParagraph"/>
        <w:numPr>
          <w:ilvl w:val="0"/>
          <w:numId w:val="39"/>
        </w:numPr>
      </w:pPr>
      <w:r w:rsidRPr="00873367">
        <w:t>Daybreak (USA)</w:t>
      </w:r>
      <w:r>
        <w:t>; and</w:t>
      </w:r>
    </w:p>
    <w:p w14:paraId="3AF4F2E4" w14:textId="77777777" w:rsidR="00156532" w:rsidRPr="00873367" w:rsidRDefault="00156532" w:rsidP="001C257D">
      <w:pPr>
        <w:pStyle w:val="ListParagraph"/>
        <w:numPr>
          <w:ilvl w:val="0"/>
          <w:numId w:val="39"/>
        </w:numPr>
      </w:pPr>
      <w:r w:rsidRPr="00873367">
        <w:t>Curitiba (Brazil)</w:t>
      </w:r>
      <w:r>
        <w:t>.</w:t>
      </w:r>
    </w:p>
    <w:p w14:paraId="6216E047" w14:textId="77777777" w:rsidR="00156532" w:rsidRDefault="00156532" w:rsidP="00156532">
      <w:r w:rsidRPr="00873367">
        <w:t xml:space="preserve">The case studies selected for analysis in this project were chosen to reflect some of the diversity in experience from around the world, and to represent different stages in the development cycle – some newer and some more well established. </w:t>
      </w:r>
    </w:p>
    <w:p w14:paraId="22A700A0" w14:textId="77777777" w:rsidR="00156532" w:rsidRPr="00873367" w:rsidRDefault="00156532" w:rsidP="00156532">
      <w:r w:rsidRPr="00873367">
        <w:t xml:space="preserve">We recognise that there are many other interesting case studies, and our selection of these six cases should not be taken as endorsement of the approach to planning used in each case. What the case studies do bring, however, is experience from what we might call more typical </w:t>
      </w:r>
      <w:r>
        <w:t>post-war</w:t>
      </w:r>
      <w:r w:rsidRPr="00873367">
        <w:t xml:space="preserve"> ‘modernist’ new towns (Paris and Chandigarh), radical re-shaping of an existing, rapidly growth city (Curitiba) and modern new towns of varying scale, on greenfield, reclaimed and brownfield land (Freiburg, Almere and Daybreak). They are therefore of relevance to all forms of </w:t>
      </w:r>
      <w:r>
        <w:t>‘</w:t>
      </w:r>
      <w:r w:rsidRPr="00873367">
        <w:t>new town</w:t>
      </w:r>
      <w:r>
        <w:t>’</w:t>
      </w:r>
      <w:r w:rsidRPr="00873367">
        <w:t xml:space="preserve"> at a range of scales.</w:t>
      </w:r>
    </w:p>
    <w:p w14:paraId="7BCFC520" w14:textId="77777777" w:rsidR="00156532" w:rsidRPr="00873367" w:rsidRDefault="00156532" w:rsidP="00156532">
      <w:pPr>
        <w:pStyle w:val="Heading2"/>
      </w:pPr>
      <w:r>
        <w:t xml:space="preserve">1.4 </w:t>
      </w:r>
      <w:r w:rsidRPr="00873367">
        <w:t>A thematic approach</w:t>
      </w:r>
    </w:p>
    <w:p w14:paraId="6CCA5602" w14:textId="77777777" w:rsidR="00156532" w:rsidRPr="008254B0" w:rsidRDefault="00156532" w:rsidP="00156532">
      <w:r w:rsidRPr="00873367">
        <w:t xml:space="preserve">The diversity of these case studies means that it was very important, in order to be able to draw meaningful conclusions from our research, that we used a common set of themes to analyse them. Not all the following themes are as relevant for each case study, but all are explored in relation to several places. </w:t>
      </w:r>
      <w:r w:rsidRPr="008254B0">
        <w:t xml:space="preserve">Our themes are: </w:t>
      </w:r>
    </w:p>
    <w:p w14:paraId="29526E75" w14:textId="77777777" w:rsidR="00156532" w:rsidRPr="00873367" w:rsidRDefault="00156532" w:rsidP="00156532">
      <w:r w:rsidRPr="008254B0">
        <w:rPr>
          <w:b/>
          <w:bCs/>
        </w:rPr>
        <w:lastRenderedPageBreak/>
        <w:t xml:space="preserve">New </w:t>
      </w:r>
      <w:r>
        <w:rPr>
          <w:b/>
          <w:bCs/>
        </w:rPr>
        <w:t>t</w:t>
      </w:r>
      <w:r w:rsidRPr="008254B0">
        <w:rPr>
          <w:b/>
          <w:bCs/>
        </w:rPr>
        <w:t xml:space="preserve">owns as </w:t>
      </w:r>
      <w:r>
        <w:rPr>
          <w:b/>
          <w:bCs/>
        </w:rPr>
        <w:t>s</w:t>
      </w:r>
      <w:r w:rsidRPr="008254B0">
        <w:rPr>
          <w:b/>
          <w:bCs/>
        </w:rPr>
        <w:t xml:space="preserve">ites of </w:t>
      </w:r>
      <w:r>
        <w:rPr>
          <w:b/>
          <w:bCs/>
        </w:rPr>
        <w:t>u</w:t>
      </w:r>
      <w:r w:rsidRPr="008254B0">
        <w:rPr>
          <w:b/>
          <w:bCs/>
        </w:rPr>
        <w:t xml:space="preserve">rban </w:t>
      </w:r>
      <w:r>
        <w:rPr>
          <w:b/>
          <w:bCs/>
        </w:rPr>
        <w:t>e</w:t>
      </w:r>
      <w:r w:rsidRPr="008254B0">
        <w:rPr>
          <w:b/>
          <w:bCs/>
        </w:rPr>
        <w:t>xperimentation</w:t>
      </w:r>
      <w:r w:rsidRPr="008254B0">
        <w:t xml:space="preserve">: For this theme we explored </w:t>
      </w:r>
      <w:r w:rsidRPr="00873367">
        <w:t>new towns as testbeds for design innovation and planning ideologies</w:t>
      </w:r>
      <w:r>
        <w:t>,</w:t>
      </w:r>
      <w:r w:rsidRPr="00873367">
        <w:t xml:space="preserve"> and assessed the successes and consequences of experimental layouts, housing models, and mobility systems. We further examined how resilient the experiments had been over the longer term, and sought to identify lessons from these experiments to inform current design practice and policymaking.</w:t>
      </w:r>
    </w:p>
    <w:p w14:paraId="5A644F5A" w14:textId="77777777" w:rsidR="00156532" w:rsidRPr="00873367" w:rsidRDefault="00156532" w:rsidP="00156532">
      <w:r w:rsidRPr="00873367">
        <w:rPr>
          <w:b/>
          <w:bCs/>
        </w:rPr>
        <w:t xml:space="preserve">The </w:t>
      </w:r>
      <w:r>
        <w:rPr>
          <w:b/>
          <w:bCs/>
        </w:rPr>
        <w:t>s</w:t>
      </w:r>
      <w:r w:rsidRPr="00873367">
        <w:rPr>
          <w:b/>
          <w:bCs/>
        </w:rPr>
        <w:t xml:space="preserve">ignificance of </w:t>
      </w:r>
      <w:r>
        <w:rPr>
          <w:b/>
          <w:bCs/>
        </w:rPr>
        <w:t>s</w:t>
      </w:r>
      <w:r w:rsidRPr="00873367">
        <w:rPr>
          <w:b/>
          <w:bCs/>
        </w:rPr>
        <w:t xml:space="preserve">ocial and </w:t>
      </w:r>
      <w:r>
        <w:rPr>
          <w:b/>
          <w:bCs/>
        </w:rPr>
        <w:t>c</w:t>
      </w:r>
      <w:r w:rsidRPr="00873367">
        <w:rPr>
          <w:b/>
          <w:bCs/>
        </w:rPr>
        <w:t xml:space="preserve">ultural </w:t>
      </w:r>
      <w:r>
        <w:rPr>
          <w:b/>
          <w:bCs/>
        </w:rPr>
        <w:t>l</w:t>
      </w:r>
      <w:r w:rsidRPr="00873367">
        <w:rPr>
          <w:b/>
          <w:bCs/>
        </w:rPr>
        <w:t xml:space="preserve">ived </w:t>
      </w:r>
      <w:r>
        <w:rPr>
          <w:b/>
          <w:bCs/>
        </w:rPr>
        <w:t>e</w:t>
      </w:r>
      <w:r w:rsidRPr="00873367">
        <w:rPr>
          <w:b/>
          <w:bCs/>
        </w:rPr>
        <w:t>xperience</w:t>
      </w:r>
      <w:r w:rsidRPr="00873367">
        <w:t>: Here we considered how residents experience and adapt to new towns, recognising how central the human factor is to successful placemaking. This included investigating how community identity and belonging is formed in new towns, and how resident perspectives critique or support dominant narratives associated with the new town. Specific aspects of lived experience we reflected upon including heritage conservation in the new town and the informal use of space, local adaptations, and evolution of public spaces.</w:t>
      </w:r>
    </w:p>
    <w:p w14:paraId="55450929" w14:textId="77777777" w:rsidR="00156532" w:rsidRPr="00873367" w:rsidRDefault="00156532" w:rsidP="00156532">
      <w:r w:rsidRPr="00873367">
        <w:rPr>
          <w:b/>
          <w:bCs/>
        </w:rPr>
        <w:t xml:space="preserve">New </w:t>
      </w:r>
      <w:r>
        <w:rPr>
          <w:b/>
          <w:bCs/>
        </w:rPr>
        <w:t>t</w:t>
      </w:r>
      <w:r w:rsidRPr="00873367">
        <w:rPr>
          <w:b/>
          <w:bCs/>
        </w:rPr>
        <w:t xml:space="preserve">owns as </w:t>
      </w:r>
      <w:r>
        <w:rPr>
          <w:b/>
          <w:bCs/>
        </w:rPr>
        <w:t>p</w:t>
      </w:r>
      <w:r w:rsidRPr="00873367">
        <w:rPr>
          <w:b/>
          <w:bCs/>
        </w:rPr>
        <w:t xml:space="preserve">olitical and </w:t>
      </w:r>
      <w:r>
        <w:rPr>
          <w:b/>
          <w:bCs/>
        </w:rPr>
        <w:t>i</w:t>
      </w:r>
      <w:r w:rsidRPr="00873367">
        <w:rPr>
          <w:b/>
          <w:bCs/>
        </w:rPr>
        <w:t xml:space="preserve">deological </w:t>
      </w:r>
      <w:r>
        <w:rPr>
          <w:b/>
          <w:bCs/>
        </w:rPr>
        <w:t>p</w:t>
      </w:r>
      <w:r w:rsidRPr="00873367">
        <w:rPr>
          <w:b/>
          <w:bCs/>
        </w:rPr>
        <w:t>rojects</w:t>
      </w:r>
      <w:r w:rsidRPr="00873367">
        <w:t xml:space="preserve">: </w:t>
      </w:r>
      <w:r>
        <w:t>N</w:t>
      </w:r>
      <w:r w:rsidRPr="00873367">
        <w:t>ew towns reflect the political</w:t>
      </w:r>
      <w:r>
        <w:t xml:space="preserve"> and </w:t>
      </w:r>
      <w:r w:rsidRPr="00873367">
        <w:t>ideological context</w:t>
      </w:r>
      <w:r>
        <w:t>s</w:t>
      </w:r>
      <w:r w:rsidRPr="00873367">
        <w:t xml:space="preserve"> of their times</w:t>
      </w:r>
      <w:r>
        <w:t xml:space="preserve"> (</w:t>
      </w:r>
      <w:r w:rsidRPr="00873367">
        <w:t>for example the post-war utopianism of the UK</w:t>
      </w:r>
      <w:r>
        <w:t>)</w:t>
      </w:r>
      <w:r w:rsidRPr="00873367">
        <w:t xml:space="preserve">, </w:t>
      </w:r>
      <w:r>
        <w:t xml:space="preserve">so </w:t>
      </w:r>
      <w:r w:rsidRPr="00873367">
        <w:t xml:space="preserve">we sought to analyse the political motivations behind new town development, how new towns reflect the pursuit of creating </w:t>
      </w:r>
      <w:r>
        <w:t>‘</w:t>
      </w:r>
      <w:r w:rsidRPr="00873367">
        <w:t>ideal spaces</w:t>
      </w:r>
      <w:r>
        <w:t>’,</w:t>
      </w:r>
      <w:r w:rsidRPr="00873367">
        <w:t xml:space="preserve"> and how these imaginations shift through time. Included in this theme are factors such as the role of the state </w:t>
      </w:r>
      <w:r>
        <w:t>versus</w:t>
      </w:r>
      <w:r w:rsidRPr="00873367">
        <w:t xml:space="preserve"> the private sector in new town delivery, how political </w:t>
      </w:r>
      <w:r>
        <w:t>changes</w:t>
      </w:r>
      <w:r w:rsidRPr="00873367">
        <w:t xml:space="preserve"> play out in the urban environment or affect planning outcomes, and how the ideological roots of new towns impact their future.</w:t>
      </w:r>
    </w:p>
    <w:p w14:paraId="547D3F16" w14:textId="77777777" w:rsidR="00156532" w:rsidRPr="00873367" w:rsidRDefault="00156532" w:rsidP="00156532">
      <w:r>
        <w:rPr>
          <w:b/>
          <w:bCs/>
        </w:rPr>
        <w:t>The c</w:t>
      </w:r>
      <w:r w:rsidRPr="00873367">
        <w:rPr>
          <w:b/>
          <w:bCs/>
        </w:rPr>
        <w:t>hallenges and</w:t>
      </w:r>
      <w:r>
        <w:rPr>
          <w:b/>
          <w:bCs/>
        </w:rPr>
        <w:t xml:space="preserve"> the</w:t>
      </w:r>
      <w:r w:rsidRPr="00873367">
        <w:rPr>
          <w:b/>
          <w:bCs/>
        </w:rPr>
        <w:t xml:space="preserve"> </w:t>
      </w:r>
      <w:r>
        <w:rPr>
          <w:b/>
          <w:bCs/>
        </w:rPr>
        <w:t>l</w:t>
      </w:r>
      <w:r w:rsidRPr="00873367">
        <w:rPr>
          <w:b/>
          <w:bCs/>
        </w:rPr>
        <w:t xml:space="preserve">imitations of </w:t>
      </w:r>
      <w:r>
        <w:rPr>
          <w:b/>
          <w:bCs/>
        </w:rPr>
        <w:t>m</w:t>
      </w:r>
      <w:r w:rsidRPr="00873367">
        <w:rPr>
          <w:b/>
          <w:bCs/>
        </w:rPr>
        <w:t xml:space="preserve">odernist </w:t>
      </w:r>
      <w:r>
        <w:rPr>
          <w:b/>
          <w:bCs/>
        </w:rPr>
        <w:t>p</w:t>
      </w:r>
      <w:r w:rsidRPr="00873367">
        <w:rPr>
          <w:b/>
          <w:bCs/>
        </w:rPr>
        <w:t>lanning</w:t>
      </w:r>
      <w:r w:rsidRPr="00873367">
        <w:t>: This theme is particularly relevant for new towns developed during the middle years of the twentieth century including</w:t>
      </w:r>
      <w:r>
        <w:t>,</w:t>
      </w:r>
      <w:r w:rsidRPr="00873367">
        <w:t xml:space="preserve"> the UK post-war new towns. Here we sought to identify spatial or design features grounded in </w:t>
      </w:r>
      <w:r>
        <w:t>m</w:t>
      </w:r>
      <w:r w:rsidRPr="00873367">
        <w:t>odernist planning ideals, explore mismatches between planned use and present day use</w:t>
      </w:r>
      <w:r>
        <w:t>,</w:t>
      </w:r>
      <w:r w:rsidRPr="00873367">
        <w:t xml:space="preserve"> and to identify resistance or reinterpretation of planned environments by local communities. Through these reflections we were able to consider how well new towns are able to adapt</w:t>
      </w:r>
      <w:r>
        <w:t xml:space="preserve"> - something</w:t>
      </w:r>
      <w:r w:rsidRPr="00873367">
        <w:t xml:space="preserve"> central to the next and final theme.</w:t>
      </w:r>
    </w:p>
    <w:p w14:paraId="63EA1CFC" w14:textId="77777777" w:rsidR="00156532" w:rsidRDefault="00156532" w:rsidP="00156532">
      <w:r w:rsidRPr="00873367">
        <w:rPr>
          <w:b/>
          <w:bCs/>
        </w:rPr>
        <w:lastRenderedPageBreak/>
        <w:t xml:space="preserve">Functionality, </w:t>
      </w:r>
      <w:r>
        <w:rPr>
          <w:b/>
          <w:bCs/>
        </w:rPr>
        <w:t>a</w:t>
      </w:r>
      <w:r w:rsidRPr="00873367">
        <w:rPr>
          <w:b/>
          <w:bCs/>
        </w:rPr>
        <w:t xml:space="preserve">daptability, and the </w:t>
      </w:r>
      <w:r>
        <w:rPr>
          <w:b/>
          <w:bCs/>
        </w:rPr>
        <w:t>f</w:t>
      </w:r>
      <w:r w:rsidRPr="00873367">
        <w:rPr>
          <w:b/>
          <w:bCs/>
        </w:rPr>
        <w:t xml:space="preserve">uture of </w:t>
      </w:r>
      <w:r>
        <w:rPr>
          <w:b/>
          <w:bCs/>
        </w:rPr>
        <w:t>n</w:t>
      </w:r>
      <w:r w:rsidRPr="00873367">
        <w:rPr>
          <w:b/>
          <w:bCs/>
        </w:rPr>
        <w:t xml:space="preserve">ew </w:t>
      </w:r>
      <w:r>
        <w:rPr>
          <w:b/>
          <w:bCs/>
        </w:rPr>
        <w:t>t</w:t>
      </w:r>
      <w:r w:rsidRPr="00873367">
        <w:rPr>
          <w:b/>
          <w:bCs/>
        </w:rPr>
        <w:t>owns</w:t>
      </w:r>
      <w:r w:rsidRPr="00873367">
        <w:t>: To allow us to move from the general to the specific</w:t>
      </w:r>
      <w:r>
        <w:t>,</w:t>
      </w:r>
      <w:r w:rsidRPr="00873367">
        <w:t xml:space="preserve"> we have investigated how well new towns function economically, socially, and ecologically in the long</w:t>
      </w:r>
      <w:r>
        <w:t>-</w:t>
      </w:r>
      <w:r w:rsidRPr="00873367">
        <w:t>term and assessed their connectivity and integration with surrounding regions</w:t>
      </w:r>
      <w:r>
        <w:t xml:space="preserve"> (</w:t>
      </w:r>
      <w:r w:rsidRPr="00873367">
        <w:t>for example in relation to jobs, transport and services</w:t>
      </w:r>
      <w:r>
        <w:t>)</w:t>
      </w:r>
      <w:r w:rsidRPr="00873367">
        <w:t xml:space="preserve">. We have </w:t>
      </w:r>
      <w:r>
        <w:t xml:space="preserve">also </w:t>
      </w:r>
      <w:r w:rsidRPr="00873367">
        <w:t>considered their capacity for renewal, retrofitting and redesign, and how adaptable are they to rapid social, technological, or climate change.</w:t>
      </w:r>
    </w:p>
    <w:p w14:paraId="2766E244" w14:textId="77777777" w:rsidR="00156532" w:rsidRPr="00873367" w:rsidRDefault="00156532" w:rsidP="00156532">
      <w:r w:rsidRPr="00873367">
        <w:t xml:space="preserve">To do this we have examined governance and maintenance models of new towns and examined whether towns remain aligned with their original purpose or have been redefined by residents. We have considered how sustainability in aspects such as housing, energy systems and food systems is acting as a foundation for long-term viability, and how successful any </w:t>
      </w:r>
      <w:proofErr w:type="spellStart"/>
      <w:r w:rsidRPr="00873367">
        <w:t>masterplanning</w:t>
      </w:r>
      <w:proofErr w:type="spellEnd"/>
      <w:r w:rsidRPr="00873367">
        <w:t xml:space="preserve"> approach has been.</w:t>
      </w:r>
    </w:p>
    <w:p w14:paraId="310301B4" w14:textId="77777777" w:rsidR="00156532" w:rsidRDefault="00156532" w:rsidP="00156532">
      <w:r w:rsidRPr="00873367">
        <w:t>To carry out our research, using these themes</w:t>
      </w:r>
      <w:r>
        <w:t>,</w:t>
      </w:r>
      <w:r w:rsidRPr="00873367">
        <w:t xml:space="preserve"> we have undertaken interviews and site visits and drawn extensively on secondary data </w:t>
      </w:r>
      <w:r>
        <w:t>(such as</w:t>
      </w:r>
      <w:r w:rsidRPr="00873367">
        <w:t xml:space="preserve"> reports and academic publications which discuss the case study new towns</w:t>
      </w:r>
      <w:r>
        <w:t>)</w:t>
      </w:r>
      <w:r w:rsidRPr="00873367">
        <w:rPr>
          <w:vertAlign w:val="superscript"/>
        </w:rPr>
        <w:endnoteReference w:id="9"/>
      </w:r>
      <w:r w:rsidRPr="00873367">
        <w:t xml:space="preserve">. </w:t>
      </w:r>
    </w:p>
    <w:p w14:paraId="785FBB04" w14:textId="77777777" w:rsidR="001413E8" w:rsidRDefault="00156532" w:rsidP="00156532">
      <w:r w:rsidRPr="00873367">
        <w:t xml:space="preserve">Detailed reports on the case studies can be found </w:t>
      </w:r>
      <w:r>
        <w:t>in the following six chapters</w:t>
      </w:r>
      <w:r w:rsidRPr="00873367">
        <w:t xml:space="preserve">. </w:t>
      </w:r>
      <w:r>
        <w:t>We then</w:t>
      </w:r>
      <w:r w:rsidRPr="00873367">
        <w:t xml:space="preserve"> look across the case studies for cross-cutting findings, identifying lessons related to all aspects of planning but specifically in relation to </w:t>
      </w:r>
      <w:r w:rsidRPr="00873367">
        <w:rPr>
          <w:b/>
          <w:bCs/>
        </w:rPr>
        <w:t>flexibility and adaptability</w:t>
      </w:r>
      <w:r w:rsidRPr="00873367">
        <w:t>.</w:t>
      </w:r>
    </w:p>
    <w:p w14:paraId="303476F6" w14:textId="6329FA79" w:rsidR="00EE40E5" w:rsidRDefault="001413E8" w:rsidP="001413E8">
      <w:pPr>
        <w:pStyle w:val="Heading2"/>
        <w:sectPr w:rsidR="00EE40E5" w:rsidSect="009518E9">
          <w:headerReference w:type="even" r:id="rId19"/>
          <w:headerReference w:type="default" r:id="rId20"/>
          <w:footerReference w:type="default" r:id="rId21"/>
          <w:headerReference w:type="first" r:id="rId22"/>
          <w:endnotePr>
            <w:numFmt w:val="decimal"/>
          </w:endnotePr>
          <w:pgSz w:w="11906" w:h="16838"/>
          <w:pgMar w:top="1440" w:right="1440" w:bottom="1440" w:left="1440" w:header="708" w:footer="741" w:gutter="0"/>
          <w:cols w:space="708"/>
          <w:docGrid w:linePitch="360"/>
        </w:sectPr>
      </w:pPr>
      <w:r>
        <w:t>1.5 Reference</w:t>
      </w:r>
      <w:r w:rsidR="00635602">
        <w:t>s</w:t>
      </w:r>
    </w:p>
    <w:p w14:paraId="0949E5A6" w14:textId="0689E3CD" w:rsidR="009518E9" w:rsidRPr="005D7EEC" w:rsidRDefault="00581778" w:rsidP="0036491E">
      <w:pPr>
        <w:pStyle w:val="Heading1"/>
        <w:rPr>
          <w:rFonts w:cs="Arial"/>
        </w:rPr>
      </w:pPr>
      <w:bookmarkStart w:id="8" w:name="_Toc216946589"/>
      <w:bookmarkStart w:id="9" w:name="_Toc221626817"/>
      <w:r w:rsidRPr="005D7EEC">
        <w:rPr>
          <w:rFonts w:cs="Arial"/>
        </w:rPr>
        <w:lastRenderedPageBreak/>
        <w:t xml:space="preserve">2. </w:t>
      </w:r>
      <w:r w:rsidR="00CE5506" w:rsidRPr="005D7EEC">
        <w:rPr>
          <w:rFonts w:cs="Arial"/>
        </w:rPr>
        <w:t xml:space="preserve">Case study: </w:t>
      </w:r>
      <w:r w:rsidR="009518E9" w:rsidRPr="005D7EEC">
        <w:rPr>
          <w:rFonts w:cs="Arial"/>
        </w:rPr>
        <w:t>Almere</w:t>
      </w:r>
      <w:bookmarkEnd w:id="8"/>
      <w:bookmarkEnd w:id="9"/>
    </w:p>
    <w:p w14:paraId="72FBB831" w14:textId="77777777" w:rsidR="009518E9" w:rsidRPr="005D7EEC" w:rsidRDefault="009518E9" w:rsidP="009518E9">
      <w:pPr>
        <w:rPr>
          <w:rFonts w:cs="Arial"/>
        </w:rPr>
      </w:pPr>
      <w:r w:rsidRPr="005D7EEC">
        <w:rPr>
          <w:rFonts w:cs="Arial"/>
        </w:rPr>
        <w:t>Flexible planning - From state-led new town to citizen-driven development</w:t>
      </w:r>
    </w:p>
    <w:p w14:paraId="3DD6140E" w14:textId="7EB81C2B" w:rsidR="009518E9" w:rsidRPr="005D7EEC" w:rsidRDefault="00581778" w:rsidP="00CE5506">
      <w:pPr>
        <w:pStyle w:val="Heading2"/>
        <w:rPr>
          <w:rFonts w:cs="Arial"/>
        </w:rPr>
      </w:pPr>
      <w:r w:rsidRPr="005D7EEC">
        <w:rPr>
          <w:rFonts w:cs="Arial"/>
        </w:rPr>
        <w:t xml:space="preserve">2.1 </w:t>
      </w:r>
      <w:r w:rsidR="009518E9" w:rsidRPr="005D7EEC">
        <w:rPr>
          <w:rFonts w:cs="Arial"/>
        </w:rPr>
        <w:t>Headlines</w:t>
      </w:r>
    </w:p>
    <w:p w14:paraId="58CC386C" w14:textId="77777777" w:rsidR="009518E9" w:rsidRPr="005D7EEC" w:rsidRDefault="009518E9" w:rsidP="009518E9">
      <w:pPr>
        <w:rPr>
          <w:rFonts w:cs="Arial"/>
        </w:rPr>
      </w:pPr>
      <w:r w:rsidRPr="005D7EEC">
        <w:rPr>
          <w:rStyle w:val="Heading3Char"/>
          <w:rFonts w:cs="Arial"/>
        </w:rPr>
        <w:t>Location</w:t>
      </w:r>
    </w:p>
    <w:p w14:paraId="2D9D712F" w14:textId="77777777" w:rsidR="009518E9" w:rsidRPr="005D7EEC" w:rsidRDefault="009518E9" w:rsidP="009518E9">
      <w:pPr>
        <w:rPr>
          <w:rFonts w:cs="Arial"/>
        </w:rPr>
      </w:pPr>
      <w:r w:rsidRPr="005D7EEC">
        <w:rPr>
          <w:rFonts w:cs="Arial"/>
        </w:rPr>
        <w:t>Almere, Netherlands, Europe</w:t>
      </w:r>
    </w:p>
    <w:p w14:paraId="0C0BEBC6" w14:textId="77777777" w:rsidR="009518E9" w:rsidRPr="005D7EEC" w:rsidRDefault="009518E9" w:rsidP="009518E9">
      <w:pPr>
        <w:pStyle w:val="Heading3"/>
        <w:rPr>
          <w:rFonts w:ascii="Arial" w:eastAsia="Aptos" w:hAnsi="Arial" w:cs="Arial"/>
        </w:rPr>
      </w:pPr>
      <w:r w:rsidRPr="005D7EEC">
        <w:rPr>
          <w:rFonts w:ascii="Arial" w:eastAsia="Aptos" w:hAnsi="Arial" w:cs="Arial"/>
        </w:rPr>
        <w:t>Key dates</w:t>
      </w:r>
    </w:p>
    <w:p w14:paraId="4060BA49"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1970s - Almere established on reclaimed land as part of the Dutch new towns programme</w:t>
      </w:r>
    </w:p>
    <w:p w14:paraId="59D75491"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1984 - Municipality of Almere formally founded</w:t>
      </w:r>
    </w:p>
    <w:p w14:paraId="34D4148B"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 xml:space="preserve">2000s - Introduction of self-build and citizen-led planning models (e.g. </w:t>
      </w:r>
      <w:proofErr w:type="spellStart"/>
      <w:r w:rsidRPr="005D7EEC">
        <w:rPr>
          <w:rFonts w:eastAsia="Aptos" w:cs="Arial"/>
          <w:color w:val="000000" w:themeColor="text1"/>
        </w:rPr>
        <w:t>Homeruskwartier</w:t>
      </w:r>
      <w:proofErr w:type="spellEnd"/>
      <w:r w:rsidRPr="005D7EEC">
        <w:rPr>
          <w:rFonts w:eastAsia="Aptos" w:cs="Arial"/>
          <w:color w:val="000000" w:themeColor="text1"/>
        </w:rPr>
        <w:t xml:space="preserve">, </w:t>
      </w:r>
      <w:proofErr w:type="spellStart"/>
      <w:r w:rsidRPr="005D7EEC">
        <w:rPr>
          <w:rFonts w:eastAsia="Aptos" w:cs="Arial"/>
          <w:color w:val="000000" w:themeColor="text1"/>
        </w:rPr>
        <w:t>Oosterwold</w:t>
      </w:r>
      <w:proofErr w:type="spellEnd"/>
      <w:r w:rsidRPr="005D7EEC">
        <w:rPr>
          <w:rFonts w:eastAsia="Aptos" w:cs="Arial"/>
          <w:color w:val="000000" w:themeColor="text1"/>
        </w:rPr>
        <w:t>)</w:t>
      </w:r>
    </w:p>
    <w:p w14:paraId="4724F87B"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2020–2021 - Adoption of Almere’s first Urban Food Strategy</w:t>
      </w:r>
    </w:p>
    <w:p w14:paraId="705D544F" w14:textId="77777777" w:rsidR="009518E9" w:rsidRPr="005D7EEC" w:rsidRDefault="009518E9" w:rsidP="009518E9">
      <w:pPr>
        <w:rPr>
          <w:rFonts w:cs="Arial"/>
        </w:rPr>
      </w:pPr>
      <w:r w:rsidRPr="005D7EEC">
        <w:rPr>
          <w:rStyle w:val="Heading3Char"/>
          <w:rFonts w:cs="Arial"/>
        </w:rPr>
        <w:t>Key features</w:t>
      </w:r>
    </w:p>
    <w:p w14:paraId="47783B6E" w14:textId="77777777" w:rsidR="009518E9" w:rsidRPr="005D7EEC" w:rsidRDefault="009518E9" w:rsidP="009518E9">
      <w:pPr>
        <w:rPr>
          <w:rFonts w:cs="Arial"/>
        </w:rPr>
      </w:pPr>
      <w:r w:rsidRPr="005D7EEC">
        <w:rPr>
          <w:rFonts w:cs="Arial"/>
        </w:rPr>
        <w:t>A large-scale, sustainability-led new town built on reclaimed land close to Amsterdam, characterised by a polycentric urban structure, integrated green-blue networks, strong public transport connectivity and innovative citizen-led self-build and food initiatives.</w:t>
      </w:r>
    </w:p>
    <w:p w14:paraId="6A8CD7FB" w14:textId="77777777" w:rsidR="009518E9" w:rsidRPr="005D7EEC" w:rsidRDefault="009518E9" w:rsidP="009518E9">
      <w:pPr>
        <w:pStyle w:val="Heading3"/>
        <w:rPr>
          <w:rFonts w:ascii="Arial" w:eastAsia="Aptos" w:hAnsi="Arial" w:cs="Arial"/>
        </w:rPr>
      </w:pPr>
      <w:r w:rsidRPr="005D7EEC">
        <w:rPr>
          <w:rFonts w:ascii="Arial" w:eastAsia="Aptos" w:hAnsi="Arial" w:cs="Arial"/>
        </w:rPr>
        <w:t>Key lessons</w:t>
      </w:r>
    </w:p>
    <w:p w14:paraId="38469D0A" w14:textId="77777777" w:rsidR="009518E9" w:rsidRPr="005D7EEC" w:rsidRDefault="009518E9" w:rsidP="009518E9">
      <w:pPr>
        <w:pStyle w:val="ListParagraph"/>
        <w:numPr>
          <w:ilvl w:val="0"/>
          <w:numId w:val="7"/>
        </w:numPr>
        <w:spacing w:before="240" w:after="240"/>
        <w:rPr>
          <w:rFonts w:eastAsia="Aptos" w:cs="Arial"/>
          <w:color w:val="000000" w:themeColor="text1"/>
        </w:rPr>
      </w:pPr>
      <w:r w:rsidRPr="005D7EEC">
        <w:rPr>
          <w:rFonts w:eastAsia="Aptos" w:cs="Arial"/>
          <w:color w:val="000000" w:themeColor="text1"/>
        </w:rPr>
        <w:t>Almere demonstrates how water management, biodiversity and public space can be integrated as the backbone of urban form. Embedding green-blue networks from the outset enhances resilience, liveability and climate adaptation in new settlements.</w:t>
      </w:r>
    </w:p>
    <w:p w14:paraId="08034ED8" w14:textId="77777777" w:rsidR="009518E9" w:rsidRPr="005D7EEC" w:rsidRDefault="009518E9" w:rsidP="009518E9">
      <w:pPr>
        <w:pStyle w:val="ListParagraph"/>
        <w:numPr>
          <w:ilvl w:val="0"/>
          <w:numId w:val="7"/>
        </w:numPr>
        <w:spacing w:before="240" w:after="240"/>
        <w:rPr>
          <w:rFonts w:eastAsia="Aptos" w:cs="Arial"/>
          <w:color w:val="000000" w:themeColor="text1"/>
        </w:rPr>
      </w:pPr>
      <w:r w:rsidRPr="005D7EEC">
        <w:rPr>
          <w:rFonts w:eastAsia="Aptos" w:cs="Arial"/>
          <w:color w:val="000000" w:themeColor="text1"/>
        </w:rPr>
        <w:lastRenderedPageBreak/>
        <w:t>Almere shows how it is possible to integrate food space using food strategies and planning instruments to support an ‘edible’ placemaking approach, especially on the town’s urban edges.</w:t>
      </w:r>
    </w:p>
    <w:p w14:paraId="01F46F84" w14:textId="77777777" w:rsidR="009518E9" w:rsidRPr="005D7EEC" w:rsidRDefault="009518E9" w:rsidP="009518E9">
      <w:pPr>
        <w:pStyle w:val="ListParagraph"/>
        <w:numPr>
          <w:ilvl w:val="0"/>
          <w:numId w:val="7"/>
        </w:numPr>
        <w:spacing w:before="240" w:after="240"/>
        <w:rPr>
          <w:rFonts w:eastAsia="Aptos" w:cs="Arial"/>
          <w:color w:val="000000" w:themeColor="text1"/>
        </w:rPr>
      </w:pPr>
      <w:r w:rsidRPr="005D7EEC">
        <w:rPr>
          <w:rFonts w:eastAsia="Aptos" w:cs="Arial"/>
          <w:color w:val="000000" w:themeColor="text1"/>
        </w:rPr>
        <w:t xml:space="preserve">Early investment in high-quality public transport and active travel networks has enabled Almere to achieve strong internal walkability, cycling accessibility and regional connectivity. </w:t>
      </w:r>
    </w:p>
    <w:p w14:paraId="1966D387" w14:textId="77777777" w:rsidR="009518E9" w:rsidRPr="005D7EEC" w:rsidRDefault="009518E9" w:rsidP="009518E9">
      <w:pPr>
        <w:pStyle w:val="ListParagraph"/>
        <w:numPr>
          <w:ilvl w:val="0"/>
          <w:numId w:val="7"/>
        </w:numPr>
        <w:spacing w:before="240" w:after="240"/>
        <w:rPr>
          <w:rFonts w:cs="Arial"/>
        </w:rPr>
      </w:pPr>
      <w:r w:rsidRPr="005D7EEC">
        <w:rPr>
          <w:rFonts w:eastAsia="Aptos" w:cs="Arial"/>
          <w:color w:val="000000" w:themeColor="text1"/>
        </w:rPr>
        <w:t>Almere’s self-build and citizen-led approaches have allowed for diversity in design, experimentation and a strong sense of place identity and ownership by residents. Policy makers elsewhere could encourage similar models. Almere’s success reflects the importance of empowering local authorities so they receive clear development mandates, with a consistent national policy direction that supports new towns.</w:t>
      </w:r>
    </w:p>
    <w:p w14:paraId="18CD9AD8" w14:textId="77777777" w:rsidR="009518E9" w:rsidRPr="005D7EEC" w:rsidRDefault="009518E9" w:rsidP="009518E9">
      <w:pPr>
        <w:pStyle w:val="ListParagraph"/>
        <w:numPr>
          <w:ilvl w:val="0"/>
          <w:numId w:val="7"/>
        </w:numPr>
        <w:spacing w:before="240" w:after="240"/>
        <w:rPr>
          <w:rFonts w:cs="Arial"/>
        </w:rPr>
      </w:pPr>
      <w:r w:rsidRPr="005D7EEC">
        <w:rPr>
          <w:rFonts w:eastAsia="Aptos" w:cs="Arial"/>
          <w:color w:val="000000" w:themeColor="text1"/>
        </w:rPr>
        <w:t xml:space="preserve">Elsewhere, this could translate as the introduction of development corporations or similar mechanisms to consolidate land ownership, deliver housing and infrastructure, and provide long-term supervision of urban development. </w:t>
      </w:r>
    </w:p>
    <w:p w14:paraId="22BA0ED0" w14:textId="77777777" w:rsidR="009518E9" w:rsidRPr="005D7EEC" w:rsidRDefault="009518E9" w:rsidP="009518E9">
      <w:pPr>
        <w:pStyle w:val="Heading3"/>
        <w:rPr>
          <w:rFonts w:ascii="Arial" w:hAnsi="Arial" w:cs="Arial"/>
        </w:rPr>
      </w:pPr>
      <w:r w:rsidRPr="005D7EEC">
        <w:rPr>
          <w:rFonts w:ascii="Arial" w:hAnsi="Arial" w:cs="Arial"/>
        </w:rPr>
        <w:t>Key recommendations</w:t>
      </w:r>
    </w:p>
    <w:p w14:paraId="56D6F9D5" w14:textId="77777777" w:rsidR="009518E9" w:rsidRPr="005D7EEC" w:rsidRDefault="009518E9" w:rsidP="009518E9">
      <w:pPr>
        <w:pStyle w:val="ListParagraph"/>
        <w:numPr>
          <w:ilvl w:val="0"/>
          <w:numId w:val="6"/>
        </w:numPr>
        <w:spacing w:before="240" w:after="240"/>
        <w:rPr>
          <w:rFonts w:eastAsia="Aptos" w:cs="Arial"/>
          <w:color w:val="000000" w:themeColor="text1"/>
        </w:rPr>
      </w:pPr>
      <w:r w:rsidRPr="005D7EEC">
        <w:rPr>
          <w:rFonts w:eastAsia="Aptos" w:cs="Arial"/>
          <w:color w:val="000000" w:themeColor="text1"/>
        </w:rPr>
        <w:t>Use development corporation or similar models to manage land ownership, planning, and to oversee stewardship arrangements.</w:t>
      </w:r>
    </w:p>
    <w:p w14:paraId="103B4A08" w14:textId="77777777" w:rsidR="009518E9" w:rsidRPr="005D7EEC" w:rsidRDefault="009518E9" w:rsidP="009518E9">
      <w:pPr>
        <w:pStyle w:val="ListParagraph"/>
        <w:numPr>
          <w:ilvl w:val="0"/>
          <w:numId w:val="6"/>
        </w:numPr>
        <w:spacing w:before="240" w:after="240"/>
        <w:rPr>
          <w:rFonts w:eastAsia="Aptos" w:cs="Arial"/>
          <w:color w:val="000000" w:themeColor="text1"/>
        </w:rPr>
      </w:pPr>
      <w:r w:rsidRPr="005D7EEC">
        <w:rPr>
          <w:rFonts w:eastAsia="Aptos" w:cs="Arial"/>
          <w:color w:val="000000" w:themeColor="text1"/>
        </w:rPr>
        <w:t xml:space="preserve">Embed green-blue and food infrastructure frameworks and strategies as core components of </w:t>
      </w:r>
      <w:proofErr w:type="spellStart"/>
      <w:r w:rsidRPr="005D7EEC">
        <w:rPr>
          <w:rFonts w:eastAsia="Aptos" w:cs="Arial"/>
          <w:color w:val="000000" w:themeColor="text1"/>
        </w:rPr>
        <w:t>masterplanning</w:t>
      </w:r>
      <w:proofErr w:type="spellEnd"/>
      <w:r w:rsidRPr="005D7EEC">
        <w:rPr>
          <w:rFonts w:eastAsia="Aptos" w:cs="Arial"/>
          <w:color w:val="000000" w:themeColor="text1"/>
        </w:rPr>
        <w:t xml:space="preserve"> a new town, ensuring mixed land uses in landscapes that have multiple functions and address climate resilience, biodiversity and wellbeing.</w:t>
      </w:r>
    </w:p>
    <w:p w14:paraId="4D93CCBA" w14:textId="77777777" w:rsidR="009518E9" w:rsidRPr="005D7EEC" w:rsidRDefault="009518E9" w:rsidP="009518E9">
      <w:pPr>
        <w:pStyle w:val="ListParagraph"/>
        <w:numPr>
          <w:ilvl w:val="0"/>
          <w:numId w:val="6"/>
        </w:numPr>
        <w:spacing w:before="240" w:after="240"/>
        <w:rPr>
          <w:rFonts w:eastAsia="Aptos" w:cs="Arial"/>
          <w:color w:val="000000" w:themeColor="text1"/>
        </w:rPr>
      </w:pPr>
      <w:r w:rsidRPr="005D7EEC">
        <w:rPr>
          <w:rFonts w:eastAsia="Aptos" w:cs="Arial"/>
          <w:color w:val="000000" w:themeColor="text1"/>
        </w:rPr>
        <w:t>Adopt a public transport-first approach to planning, prioritising early provision of sustainable mobility and active travel networks and regional public transport connectivity.</w:t>
      </w:r>
    </w:p>
    <w:p w14:paraId="3A21E1C6" w14:textId="77777777" w:rsidR="009518E9" w:rsidRPr="005D7EEC" w:rsidRDefault="009518E9" w:rsidP="009518E9">
      <w:pPr>
        <w:pStyle w:val="ListParagraph"/>
        <w:numPr>
          <w:ilvl w:val="0"/>
          <w:numId w:val="6"/>
        </w:numPr>
        <w:spacing w:before="240" w:after="240"/>
        <w:rPr>
          <w:rFonts w:cs="Arial"/>
        </w:rPr>
      </w:pPr>
      <w:r w:rsidRPr="005D7EEC">
        <w:rPr>
          <w:rFonts w:eastAsia="Aptos" w:cs="Arial"/>
          <w:color w:val="000000" w:themeColor="text1"/>
        </w:rPr>
        <w:t xml:space="preserve">Support community-led and self-build planning initiatives, including those which are food related, within new developments as can be beneficial in establishing a sense of community and strengthening liveable placemaking. </w:t>
      </w:r>
    </w:p>
    <w:p w14:paraId="40DF397A" w14:textId="4C3A5CCC" w:rsidR="009518E9" w:rsidRPr="005D7EEC" w:rsidRDefault="00581778" w:rsidP="00CE5506">
      <w:pPr>
        <w:pStyle w:val="Heading2"/>
        <w:rPr>
          <w:rFonts w:cs="Arial"/>
        </w:rPr>
      </w:pPr>
      <w:r w:rsidRPr="005D7EEC">
        <w:rPr>
          <w:rFonts w:cs="Arial"/>
        </w:rPr>
        <w:t xml:space="preserve">2.2 </w:t>
      </w:r>
      <w:r w:rsidR="009518E9" w:rsidRPr="005D7EEC">
        <w:rPr>
          <w:rFonts w:cs="Arial"/>
        </w:rPr>
        <w:t>Overview</w:t>
      </w:r>
    </w:p>
    <w:p w14:paraId="4EACE146" w14:textId="77777777" w:rsidR="009518E9" w:rsidRPr="005D7EEC" w:rsidRDefault="009518E9" w:rsidP="009518E9">
      <w:pPr>
        <w:rPr>
          <w:rFonts w:cs="Arial"/>
        </w:rPr>
      </w:pPr>
      <w:r w:rsidRPr="005D7EEC">
        <w:rPr>
          <w:rFonts w:cs="Arial"/>
        </w:rPr>
        <w:lastRenderedPageBreak/>
        <w:t xml:space="preserve">Almere is a new town located in the province of Flevoland in the Netherlands, approximately 20km east of Amsterdam. Established in the 1970s on land reclaimed from an inland sea, Almere was designed to relieve housing shortages in the Randstad – the densely populated urban conurbation in the western Netherlands encompassing the cities of Amsterdam, Rotterdam, The Hague and Utrecht. </w:t>
      </w:r>
    </w:p>
    <w:p w14:paraId="594B201B" w14:textId="77777777" w:rsidR="009518E9" w:rsidRPr="005D7EEC" w:rsidRDefault="009518E9" w:rsidP="009518E9">
      <w:pPr>
        <w:rPr>
          <w:rFonts w:cs="Arial"/>
        </w:rPr>
      </w:pPr>
      <w:r w:rsidRPr="005D7EEC">
        <w:rPr>
          <w:rFonts w:cs="Arial"/>
        </w:rPr>
        <w:t xml:space="preserve">Almere was built on the </w:t>
      </w:r>
      <w:proofErr w:type="spellStart"/>
      <w:r w:rsidRPr="005D7EEC">
        <w:rPr>
          <w:rFonts w:cs="Arial"/>
        </w:rPr>
        <w:t>Flevopolder</w:t>
      </w:r>
      <w:proofErr w:type="spellEnd"/>
      <w:r w:rsidRPr="005D7EEC">
        <w:rPr>
          <w:rFonts w:cs="Arial"/>
        </w:rPr>
        <w:t>, low-lying land reclaimed from the sea and kept dry by embankments. It was part of the Dutch new towns programme, which mainly ran from the late 1960s to 1980s and was partly inspired by the British New Towns Act of 1946 and Ebenezer Howard’s Garden City principles. Due to its proximity to Amsterdam, Almere functions as an overflow town</w:t>
      </w:r>
      <w:r w:rsidRPr="005D7EEC">
        <w:rPr>
          <w:rStyle w:val="EndnoteReference"/>
          <w:rFonts w:cs="Arial"/>
        </w:rPr>
        <w:endnoteReference w:id="10"/>
      </w:r>
      <w:r w:rsidRPr="005D7EEC">
        <w:rPr>
          <w:rFonts w:cs="Arial"/>
        </w:rPr>
        <w:t>. Almere’s population is approximately 230,500 and is expected to “exceed 325,000 by 2050”</w:t>
      </w:r>
      <w:r w:rsidRPr="005D7EEC">
        <w:rPr>
          <w:rStyle w:val="EndnoteReference"/>
          <w:rFonts w:cs="Arial"/>
        </w:rPr>
        <w:endnoteReference w:id="11"/>
      </w:r>
      <w:r w:rsidRPr="005D7EEC">
        <w:rPr>
          <w:rFonts w:cs="Arial"/>
        </w:rPr>
        <w:t xml:space="preserve"> making it both the youngest and fastest growing city in the Netherlands. </w:t>
      </w:r>
    </w:p>
    <w:p w14:paraId="321B984E" w14:textId="77777777" w:rsidR="009518E9" w:rsidRPr="005D7EEC" w:rsidRDefault="009518E9" w:rsidP="009518E9">
      <w:pPr>
        <w:rPr>
          <w:rFonts w:cs="Arial"/>
        </w:rPr>
      </w:pPr>
      <w:r w:rsidRPr="005D7EEC">
        <w:rPr>
          <w:rFonts w:cs="Arial"/>
        </w:rPr>
        <w:t xml:space="preserve">Beyond the Netherlands, Almere offers transferable lessons to new town development internationally. Almere’s polycentric structure of green-blue networks connects well to nature, manages water and helps limit heat island effects. Its strong public transport and extensive walking and cycling connections allow people to move around in an easy, healthy way. Almere includes housing self-build zones on its urban edges where community-driven design is allowed. This adds flexibility to housing provision and food growing strategies. The </w:t>
      </w:r>
      <w:r w:rsidRPr="005D7EEC">
        <w:rPr>
          <w:rFonts w:cs="Arial"/>
          <w:b/>
          <w:bCs/>
        </w:rPr>
        <w:t>emphasis on sustainable living offers a</w:t>
      </w:r>
      <w:r w:rsidRPr="005D7EEC">
        <w:rPr>
          <w:rFonts w:cs="Arial"/>
        </w:rPr>
        <w:t xml:space="preserve"> </w:t>
      </w:r>
      <w:r w:rsidRPr="005D7EEC">
        <w:rPr>
          <w:rFonts w:cs="Arial"/>
          <w:b/>
          <w:bCs/>
        </w:rPr>
        <w:t>replicable model to other new towns</w:t>
      </w:r>
      <w:r w:rsidRPr="005D7EEC">
        <w:rPr>
          <w:rFonts w:cs="Arial"/>
        </w:rPr>
        <w:t xml:space="preserve">. </w:t>
      </w:r>
    </w:p>
    <w:p w14:paraId="67AEC2C6" w14:textId="77777777" w:rsidR="009518E9" w:rsidRPr="005D7EEC" w:rsidRDefault="009518E9" w:rsidP="009518E9">
      <w:pPr>
        <w:rPr>
          <w:rFonts w:cs="Arial"/>
        </w:rPr>
      </w:pPr>
    </w:p>
    <w:p w14:paraId="367308FC" w14:textId="77777777" w:rsidR="009518E9" w:rsidRPr="005D7EEC" w:rsidRDefault="009518E9" w:rsidP="009518E9">
      <w:pPr>
        <w:rPr>
          <w:rFonts w:cs="Arial"/>
        </w:rPr>
      </w:pPr>
    </w:p>
    <w:p w14:paraId="762C8A54" w14:textId="77777777" w:rsidR="009518E9" w:rsidRPr="005D7EEC" w:rsidRDefault="009518E9" w:rsidP="009518E9">
      <w:pPr>
        <w:rPr>
          <w:rFonts w:cs="Arial"/>
        </w:rPr>
      </w:pPr>
    </w:p>
    <w:p w14:paraId="25C3B01A" w14:textId="77777777" w:rsidR="009518E9" w:rsidRPr="005D7EEC" w:rsidRDefault="009518E9" w:rsidP="009518E9">
      <w:pPr>
        <w:rPr>
          <w:rFonts w:cs="Arial"/>
        </w:rPr>
      </w:pPr>
    </w:p>
    <w:p w14:paraId="5F47AB63" w14:textId="77777777" w:rsidR="009518E9" w:rsidRPr="005D7EEC" w:rsidRDefault="009518E9" w:rsidP="009518E9">
      <w:pPr>
        <w:rPr>
          <w:rFonts w:cs="Arial"/>
        </w:rPr>
      </w:pPr>
    </w:p>
    <w:p w14:paraId="5B86DBEA" w14:textId="77777777" w:rsidR="009518E9" w:rsidRPr="005D7EEC" w:rsidRDefault="009518E9" w:rsidP="009518E9">
      <w:pPr>
        <w:rPr>
          <w:rFonts w:cs="Arial"/>
        </w:rPr>
      </w:pPr>
    </w:p>
    <w:p w14:paraId="5FAF8FE0" w14:textId="77777777" w:rsidR="009518E9" w:rsidRPr="005D7EEC" w:rsidRDefault="009518E9" w:rsidP="009518E9">
      <w:pPr>
        <w:rPr>
          <w:rFonts w:cs="Arial"/>
        </w:rPr>
      </w:pPr>
    </w:p>
    <w:p w14:paraId="6D2F657B" w14:textId="77777777" w:rsidR="009518E9" w:rsidRPr="005D7EEC" w:rsidRDefault="009518E9" w:rsidP="009518E9">
      <w:pPr>
        <w:rPr>
          <w:rFonts w:cs="Arial"/>
        </w:rPr>
      </w:pPr>
    </w:p>
    <w:p w14:paraId="4E55091B" w14:textId="77777777" w:rsidR="009518E9" w:rsidRPr="005D7EEC" w:rsidRDefault="009518E9" w:rsidP="009518E9">
      <w:pPr>
        <w:rPr>
          <w:rFonts w:cs="Arial"/>
        </w:rPr>
      </w:pPr>
      <w:r w:rsidRPr="005D7EEC">
        <w:rPr>
          <w:rFonts w:cs="Arial"/>
          <w:noProof/>
        </w:rPr>
        <w:drawing>
          <wp:anchor distT="0" distB="0" distL="114300" distR="114300" simplePos="0" relativeHeight="251658240" behindDoc="0" locked="0" layoutInCell="1" allowOverlap="1" wp14:anchorId="5FFBF180" wp14:editId="564D0B33">
            <wp:simplePos x="0" y="0"/>
            <wp:positionH relativeFrom="margin">
              <wp:posOffset>-31750</wp:posOffset>
            </wp:positionH>
            <wp:positionV relativeFrom="paragraph">
              <wp:posOffset>0</wp:posOffset>
            </wp:positionV>
            <wp:extent cx="4120898" cy="2749550"/>
            <wp:effectExtent l="0" t="0" r="0" b="0"/>
            <wp:wrapSquare wrapText="bothSides"/>
            <wp:docPr id="388209709" name="drawing" descr="A canal with grass trees and buildings on either side. On the left hand side medium  or high rise development is partly visible, on the right hand size, terraced housing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09709" name="drawing" descr="A canal with grass trees and buildings on either side. On the left hand side medium  or high rise development is partly visible, on the right hand size, terraced housing is visible."/>
                    <pic:cNvPicPr/>
                  </pic:nvPicPr>
                  <pic:blipFill>
                    <a:blip r:embed="rId23" cstate="screen">
                      <a:extLst>
                        <a:ext uri="{28A0092B-C50C-407E-A947-70E740481C1C}">
                          <a14:useLocalDpi xmlns:a14="http://schemas.microsoft.com/office/drawing/2010/main"/>
                        </a:ext>
                      </a:extLst>
                    </a:blip>
                    <a:stretch>
                      <a:fillRect/>
                    </a:stretch>
                  </pic:blipFill>
                  <pic:spPr>
                    <a:xfrm>
                      <a:off x="0" y="0"/>
                      <a:ext cx="4120898" cy="2749550"/>
                    </a:xfrm>
                    <a:prstGeom prst="rect">
                      <a:avLst/>
                    </a:prstGeom>
                  </pic:spPr>
                </pic:pic>
              </a:graphicData>
            </a:graphic>
            <wp14:sizeRelH relativeFrom="page">
              <wp14:pctWidth>0</wp14:pctWidth>
            </wp14:sizeRelH>
            <wp14:sizeRelV relativeFrom="page">
              <wp14:pctHeight>0</wp14:pctHeight>
            </wp14:sizeRelV>
          </wp:anchor>
        </w:drawing>
      </w:r>
    </w:p>
    <w:p w14:paraId="2F4B4087" w14:textId="77777777" w:rsidR="009518E9" w:rsidRPr="005D7EEC" w:rsidRDefault="009518E9" w:rsidP="009518E9">
      <w:pPr>
        <w:rPr>
          <w:rFonts w:cs="Arial"/>
        </w:rPr>
      </w:pPr>
    </w:p>
    <w:p w14:paraId="74F74E36" w14:textId="77777777" w:rsidR="009518E9" w:rsidRPr="005D7EEC" w:rsidRDefault="009518E9" w:rsidP="009518E9">
      <w:pPr>
        <w:rPr>
          <w:rFonts w:cs="Arial"/>
        </w:rPr>
      </w:pPr>
    </w:p>
    <w:p w14:paraId="4E805F48" w14:textId="77777777" w:rsidR="009518E9" w:rsidRPr="005D7EEC" w:rsidRDefault="009518E9" w:rsidP="009518E9">
      <w:pPr>
        <w:rPr>
          <w:rFonts w:cs="Arial"/>
        </w:rPr>
      </w:pPr>
    </w:p>
    <w:p w14:paraId="2DD43C20" w14:textId="77777777" w:rsidR="009518E9" w:rsidRPr="005D7EEC" w:rsidRDefault="009518E9" w:rsidP="009518E9">
      <w:pPr>
        <w:rPr>
          <w:rFonts w:cs="Arial"/>
        </w:rPr>
      </w:pPr>
    </w:p>
    <w:p w14:paraId="6D1D86A2" w14:textId="77777777" w:rsidR="009518E9" w:rsidRPr="005D7EEC" w:rsidRDefault="009518E9" w:rsidP="009518E9">
      <w:pPr>
        <w:rPr>
          <w:rFonts w:cs="Arial"/>
        </w:rPr>
      </w:pPr>
    </w:p>
    <w:p w14:paraId="71291873" w14:textId="012ACD70" w:rsidR="009518E9" w:rsidRPr="005D7EEC" w:rsidRDefault="009518E9" w:rsidP="009518E9">
      <w:pPr>
        <w:rPr>
          <w:rFonts w:cs="Arial"/>
          <w:i/>
          <w:iCs/>
        </w:rPr>
      </w:pPr>
      <w:r w:rsidRPr="005D7EEC">
        <w:rPr>
          <w:rFonts w:cs="Arial"/>
          <w:i/>
          <w:iCs/>
        </w:rPr>
        <w:t>Figure 1.1: Green-blue networks in Almere, photograph by Ellie Pritchard, 2025</w:t>
      </w:r>
    </w:p>
    <w:p w14:paraId="509BEB36" w14:textId="77777777" w:rsidR="009518E9" w:rsidRPr="005D7EEC" w:rsidRDefault="009518E9" w:rsidP="009518E9">
      <w:pPr>
        <w:rPr>
          <w:rFonts w:cs="Arial"/>
          <w:b/>
          <w:bCs/>
        </w:rPr>
      </w:pPr>
      <w:r w:rsidRPr="005D7EEC">
        <w:rPr>
          <w:rFonts w:cs="Arial"/>
        </w:rPr>
        <w:t>Perhaps the most significant limitation of the transferability of Almere to other contexts is its land ownership. As Almere was built on reclaimed land, it benefitted from being a blank canvas with a lack of heritage constraints or issues with fragmentation due to private land ownership. This will not be the case in most places internationally.</w:t>
      </w:r>
    </w:p>
    <w:p w14:paraId="089B6524" w14:textId="62535F02" w:rsidR="009518E9" w:rsidRPr="005D7EEC" w:rsidRDefault="00581778" w:rsidP="00CE5506">
      <w:pPr>
        <w:pStyle w:val="Heading2"/>
        <w:rPr>
          <w:rFonts w:cs="Arial"/>
        </w:rPr>
      </w:pPr>
      <w:r w:rsidRPr="005D7EEC">
        <w:rPr>
          <w:rFonts w:cs="Arial"/>
        </w:rPr>
        <w:t xml:space="preserve">2.3 </w:t>
      </w:r>
      <w:r w:rsidR="009518E9" w:rsidRPr="005D7EEC">
        <w:rPr>
          <w:rFonts w:cs="Arial"/>
        </w:rPr>
        <w:t>Planning frameworks</w:t>
      </w:r>
    </w:p>
    <w:p w14:paraId="4C83C67B" w14:textId="77777777" w:rsidR="009518E9" w:rsidRPr="005D7EEC" w:rsidRDefault="009518E9" w:rsidP="009518E9">
      <w:pPr>
        <w:rPr>
          <w:rFonts w:cs="Arial"/>
        </w:rPr>
      </w:pPr>
      <w:r w:rsidRPr="005D7EEC">
        <w:rPr>
          <w:rFonts w:cs="Arial"/>
        </w:rPr>
        <w:t xml:space="preserve">Almere’s planning framework is characterised by its polycentric, multi-nucleus model. Almere is made up of multiple semi-autonomous districts, each with their own identity and amenities. Shared infrastructure and designated bicycle and bus lanes connect the districts, which are separated by green and blue landscape components. In its early years, the city exemplified Dutch urban planning traditions of top-down, </w:t>
      </w:r>
      <w:proofErr w:type="spellStart"/>
      <w:r w:rsidRPr="005D7EEC">
        <w:rPr>
          <w:rFonts w:cs="Arial"/>
        </w:rPr>
        <w:t>masterplanned</w:t>
      </w:r>
      <w:proofErr w:type="spellEnd"/>
      <w:r w:rsidRPr="005D7EEC">
        <w:rPr>
          <w:rFonts w:cs="Arial"/>
        </w:rPr>
        <w:t xml:space="preserve"> urban developments. </w:t>
      </w:r>
    </w:p>
    <w:p w14:paraId="7662438F" w14:textId="77777777" w:rsidR="009518E9" w:rsidRPr="005D7EEC" w:rsidRDefault="009518E9" w:rsidP="009518E9">
      <w:pPr>
        <w:rPr>
          <w:rFonts w:cs="Arial"/>
        </w:rPr>
      </w:pPr>
      <w:r w:rsidRPr="005D7EEC">
        <w:rPr>
          <w:rFonts w:cs="Arial"/>
        </w:rPr>
        <w:lastRenderedPageBreak/>
        <w:t xml:space="preserve">Yet, since the early 2000s, Almere has gained international attention for the popularity of its self-build initiatives in </w:t>
      </w:r>
      <w:proofErr w:type="spellStart"/>
      <w:r w:rsidRPr="005D7EEC">
        <w:rPr>
          <w:rFonts w:cs="Arial"/>
        </w:rPr>
        <w:t>Homeruskwartier</w:t>
      </w:r>
      <w:proofErr w:type="spellEnd"/>
      <w:r w:rsidRPr="005D7EEC">
        <w:rPr>
          <w:rFonts w:cs="Arial"/>
        </w:rPr>
        <w:t xml:space="preserve">, a large-scale new district located in Almere Poort, community-focused housing and place design in the neighbourhood of </w:t>
      </w:r>
      <w:proofErr w:type="spellStart"/>
      <w:r w:rsidRPr="005D7EEC">
        <w:rPr>
          <w:rFonts w:cs="Arial"/>
        </w:rPr>
        <w:t>Nobelhorst</w:t>
      </w:r>
      <w:proofErr w:type="spellEnd"/>
      <w:r w:rsidRPr="005D7EEC">
        <w:rPr>
          <w:rStyle w:val="EndnoteReference"/>
          <w:rFonts w:cs="Arial"/>
        </w:rPr>
        <w:endnoteReference w:id="12"/>
      </w:r>
      <w:r w:rsidRPr="005D7EEC">
        <w:rPr>
          <w:rFonts w:cs="Arial"/>
        </w:rPr>
        <w:t xml:space="preserve">, and the experimental, citizen-driven planning model in </w:t>
      </w:r>
      <w:proofErr w:type="spellStart"/>
      <w:r w:rsidRPr="005D7EEC">
        <w:rPr>
          <w:rFonts w:cs="Arial"/>
        </w:rPr>
        <w:t>Oosterwold</w:t>
      </w:r>
      <w:proofErr w:type="spellEnd"/>
      <w:r w:rsidRPr="005D7EEC">
        <w:rPr>
          <w:rFonts w:cs="Arial"/>
        </w:rPr>
        <w:t xml:space="preserve">, located on Almere’s eastern peri-urban edge. Almere has emerged as a notable case in urban food systems, particularly through </w:t>
      </w:r>
      <w:proofErr w:type="spellStart"/>
      <w:r w:rsidRPr="005D7EEC">
        <w:rPr>
          <w:rFonts w:cs="Arial"/>
        </w:rPr>
        <w:t>Oosterwold</w:t>
      </w:r>
      <w:proofErr w:type="spellEnd"/>
      <w:r w:rsidRPr="005D7EEC">
        <w:rPr>
          <w:rFonts w:cs="Arial"/>
        </w:rPr>
        <w:t>, where planning regulations require residents to allocate 50 percent of their land to food production</w:t>
      </w:r>
      <w:r w:rsidRPr="005D7EEC">
        <w:rPr>
          <w:rStyle w:val="EndnoteReference"/>
          <w:rFonts w:cs="Arial"/>
        </w:rPr>
        <w:endnoteReference w:id="13"/>
      </w:r>
      <w:r w:rsidRPr="005D7EEC">
        <w:rPr>
          <w:rFonts w:cs="Arial"/>
        </w:rPr>
        <w:t>. In 2020-2021, Almere became one of the first Dutch cities to establish an urban food strategy (UFS)</w:t>
      </w:r>
      <w:r w:rsidRPr="005D7EEC">
        <w:rPr>
          <w:rStyle w:val="EndnoteReference"/>
          <w:rFonts w:cs="Arial"/>
        </w:rPr>
        <w:endnoteReference w:id="14"/>
      </w:r>
      <w:r w:rsidRPr="005D7EEC">
        <w:rPr>
          <w:rFonts w:cs="Arial"/>
        </w:rPr>
        <w:t xml:space="preserve">. </w:t>
      </w:r>
    </w:p>
    <w:p w14:paraId="32C6ADDA" w14:textId="77777777" w:rsidR="009518E9" w:rsidRPr="005D7EEC" w:rsidRDefault="009518E9" w:rsidP="009518E9">
      <w:pPr>
        <w:rPr>
          <w:rFonts w:cs="Arial"/>
        </w:rPr>
      </w:pPr>
      <w:r w:rsidRPr="005D7EEC">
        <w:rPr>
          <w:rFonts w:cs="Arial"/>
          <w:noProof/>
        </w:rPr>
        <w:drawing>
          <wp:anchor distT="0" distB="0" distL="114300" distR="114300" simplePos="0" relativeHeight="251658244" behindDoc="0" locked="0" layoutInCell="1" allowOverlap="1" wp14:anchorId="6616E057" wp14:editId="3ABA3243">
            <wp:simplePos x="0" y="0"/>
            <wp:positionH relativeFrom="column">
              <wp:posOffset>6350</wp:posOffset>
            </wp:positionH>
            <wp:positionV relativeFrom="paragraph">
              <wp:posOffset>0</wp:posOffset>
            </wp:positionV>
            <wp:extent cx="4743450" cy="2667698"/>
            <wp:effectExtent l="0" t="0" r="0" b="0"/>
            <wp:wrapSquare wrapText="bothSides"/>
            <wp:docPr id="516837789" name="drawing" descr="Terraced 3-storey housing accessed by a car-free path, with trees in the foreground. Image is taken from a bridge, possibly over a canal which runs parallel to th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37789" name="drawing" descr="Terraced 3-storey housing accessed by a car-free path, with trees in the foreground. Image is taken from a bridge, possibly over a canal which runs parallel to the housing."/>
                    <pic:cNvPicPr/>
                  </pic:nvPicPr>
                  <pic:blipFill>
                    <a:blip r:embed="rId24" cstate="screen">
                      <a:extLst>
                        <a:ext uri="{28A0092B-C50C-407E-A947-70E740481C1C}">
                          <a14:useLocalDpi xmlns:a14="http://schemas.microsoft.com/office/drawing/2010/main"/>
                        </a:ext>
                      </a:extLst>
                    </a:blip>
                    <a:stretch>
                      <a:fillRect/>
                    </a:stretch>
                  </pic:blipFill>
                  <pic:spPr>
                    <a:xfrm>
                      <a:off x="0" y="0"/>
                      <a:ext cx="4743450" cy="2667698"/>
                    </a:xfrm>
                    <a:prstGeom prst="rect">
                      <a:avLst/>
                    </a:prstGeom>
                  </pic:spPr>
                </pic:pic>
              </a:graphicData>
            </a:graphic>
          </wp:anchor>
        </w:drawing>
      </w:r>
    </w:p>
    <w:p w14:paraId="0B084310" w14:textId="77777777" w:rsidR="009518E9" w:rsidRPr="005D7EEC" w:rsidRDefault="009518E9" w:rsidP="009518E9">
      <w:pPr>
        <w:rPr>
          <w:rFonts w:cs="Arial"/>
        </w:rPr>
      </w:pPr>
    </w:p>
    <w:p w14:paraId="57017F7F" w14:textId="77777777" w:rsidR="009518E9" w:rsidRPr="005D7EEC" w:rsidRDefault="009518E9" w:rsidP="009518E9">
      <w:pPr>
        <w:rPr>
          <w:rFonts w:cs="Arial"/>
          <w:i/>
          <w:iCs/>
        </w:rPr>
      </w:pPr>
    </w:p>
    <w:p w14:paraId="6F851E4D" w14:textId="77777777" w:rsidR="009518E9" w:rsidRPr="005D7EEC" w:rsidRDefault="009518E9" w:rsidP="009518E9">
      <w:pPr>
        <w:rPr>
          <w:rFonts w:cs="Arial"/>
          <w:i/>
          <w:iCs/>
        </w:rPr>
      </w:pPr>
    </w:p>
    <w:p w14:paraId="60E850C7" w14:textId="77777777" w:rsidR="009518E9" w:rsidRPr="005D7EEC" w:rsidRDefault="009518E9" w:rsidP="009518E9">
      <w:pPr>
        <w:rPr>
          <w:rFonts w:cs="Arial"/>
          <w:i/>
          <w:iCs/>
        </w:rPr>
      </w:pPr>
    </w:p>
    <w:p w14:paraId="732358DD" w14:textId="77777777" w:rsidR="009518E9" w:rsidRPr="005D7EEC" w:rsidRDefault="009518E9" w:rsidP="009518E9">
      <w:pPr>
        <w:rPr>
          <w:rFonts w:cs="Arial"/>
          <w:i/>
          <w:iCs/>
        </w:rPr>
      </w:pPr>
    </w:p>
    <w:p w14:paraId="78773D77" w14:textId="33C1BA47" w:rsidR="009518E9" w:rsidRPr="005D7EEC" w:rsidRDefault="009518E9" w:rsidP="009518E9">
      <w:pPr>
        <w:rPr>
          <w:rFonts w:cs="Arial"/>
          <w:i/>
          <w:iCs/>
        </w:rPr>
      </w:pPr>
      <w:r w:rsidRPr="005D7EEC">
        <w:rPr>
          <w:rFonts w:cs="Arial"/>
          <w:i/>
          <w:iCs/>
        </w:rPr>
        <w:t>Figure 1.2: Housing in Almere, photograph by Susan Parham, 2025</w:t>
      </w:r>
    </w:p>
    <w:p w14:paraId="117DEB2E" w14:textId="43832C31" w:rsidR="009518E9" w:rsidRPr="005D7EEC" w:rsidRDefault="00B8450A" w:rsidP="00CE5506">
      <w:pPr>
        <w:pStyle w:val="Heading2"/>
        <w:rPr>
          <w:rFonts w:cs="Arial"/>
        </w:rPr>
      </w:pPr>
      <w:r w:rsidRPr="005D7EEC">
        <w:rPr>
          <w:rFonts w:cs="Arial"/>
        </w:rPr>
        <w:t xml:space="preserve">2.4 </w:t>
      </w:r>
      <w:r w:rsidR="009518E9" w:rsidRPr="005D7EEC">
        <w:rPr>
          <w:rFonts w:cs="Arial"/>
        </w:rPr>
        <w:t>Governance structures</w:t>
      </w:r>
    </w:p>
    <w:p w14:paraId="26B3FB62" w14:textId="77777777" w:rsidR="009518E9" w:rsidRPr="005D7EEC" w:rsidRDefault="009518E9" w:rsidP="009518E9">
      <w:pPr>
        <w:rPr>
          <w:rFonts w:cs="Arial"/>
        </w:rPr>
      </w:pPr>
      <w:r w:rsidRPr="005D7EEC">
        <w:rPr>
          <w:rFonts w:cs="Arial"/>
        </w:rPr>
        <w:t>The municipality of Almere was founded in 1984. Almere was established as one entity, despite its internal arrangement into separate urban nodes</w:t>
      </w:r>
      <w:r w:rsidRPr="005D7EEC">
        <w:rPr>
          <w:rStyle w:val="EndnoteReference"/>
          <w:rFonts w:cs="Arial"/>
        </w:rPr>
        <w:endnoteReference w:id="15"/>
      </w:r>
      <w:r w:rsidRPr="005D7EEC">
        <w:rPr>
          <w:rFonts w:cs="Arial"/>
        </w:rPr>
        <w:t>. As the ownership of land was transferred to the municipality, service and infrastructure processes accelerated</w:t>
      </w:r>
      <w:r w:rsidRPr="005D7EEC">
        <w:rPr>
          <w:rStyle w:val="EndnoteReference"/>
          <w:rFonts w:cs="Arial"/>
        </w:rPr>
        <w:endnoteReference w:id="16"/>
      </w:r>
      <w:r w:rsidRPr="005D7EEC">
        <w:rPr>
          <w:rFonts w:cs="Arial"/>
        </w:rPr>
        <w:t>. After the 2000s, it is thought that the financial crash “spurred urban experimentation” through “social housing models, an emphasis on self-organisation, community involvement and participatory planning”</w:t>
      </w:r>
      <w:r w:rsidRPr="005D7EEC">
        <w:rPr>
          <w:rStyle w:val="EndnoteReference"/>
          <w:rFonts w:cs="Arial"/>
        </w:rPr>
        <w:endnoteReference w:id="17"/>
      </w:r>
      <w:r w:rsidRPr="005D7EEC">
        <w:rPr>
          <w:rFonts w:cs="Arial"/>
        </w:rPr>
        <w:t xml:space="preserve">. Almere is a strong case of active municipal agency, which is observable in its phased development and infrastructure provision. </w:t>
      </w:r>
    </w:p>
    <w:p w14:paraId="61BFB6DE" w14:textId="6A85F4F7" w:rsidR="009518E9" w:rsidRPr="005D7EEC" w:rsidRDefault="00B8450A" w:rsidP="00CE5506">
      <w:pPr>
        <w:pStyle w:val="Heading2"/>
        <w:rPr>
          <w:rFonts w:cs="Arial"/>
        </w:rPr>
      </w:pPr>
      <w:r w:rsidRPr="005D7EEC">
        <w:rPr>
          <w:rFonts w:cs="Arial"/>
        </w:rPr>
        <w:lastRenderedPageBreak/>
        <w:t xml:space="preserve">2.5 </w:t>
      </w:r>
      <w:r w:rsidR="009518E9" w:rsidRPr="005D7EEC">
        <w:rPr>
          <w:rFonts w:cs="Arial"/>
        </w:rPr>
        <w:t>Adaptability and flexibility: Levers and barriers</w:t>
      </w:r>
    </w:p>
    <w:p w14:paraId="12D73B71" w14:textId="77777777" w:rsidR="009518E9" w:rsidRPr="005D7EEC" w:rsidRDefault="009518E9" w:rsidP="009518E9">
      <w:pPr>
        <w:rPr>
          <w:rFonts w:cs="Arial"/>
        </w:rPr>
      </w:pPr>
      <w:r w:rsidRPr="005D7EEC">
        <w:rPr>
          <w:rFonts w:cs="Arial"/>
        </w:rPr>
        <w:t>Almere is internationally recognised for its approach to food systems and the integration of urban agriculture in peri-urban development</w:t>
      </w:r>
      <w:r w:rsidRPr="005D7EEC">
        <w:rPr>
          <w:rStyle w:val="EndnoteReference"/>
          <w:rFonts w:cs="Arial"/>
        </w:rPr>
        <w:endnoteReference w:id="18"/>
      </w:r>
      <w:r w:rsidRPr="005D7EEC">
        <w:rPr>
          <w:rFonts w:cs="Arial"/>
        </w:rPr>
        <w:t xml:space="preserve">. Geographically, food systems have always been significant to Almere due to its positioning within the </w:t>
      </w:r>
      <w:proofErr w:type="spellStart"/>
      <w:r w:rsidRPr="005D7EEC">
        <w:rPr>
          <w:rFonts w:cs="Arial"/>
        </w:rPr>
        <w:t>Flevopolder</w:t>
      </w:r>
      <w:proofErr w:type="spellEnd"/>
      <w:r w:rsidRPr="005D7EEC">
        <w:rPr>
          <w:rFonts w:cs="Arial"/>
        </w:rPr>
        <w:t>. This area was initially reclaimed for agriculture and remains one of the most productive food regions in the Netherlands</w:t>
      </w:r>
      <w:r w:rsidRPr="005D7EEC">
        <w:rPr>
          <w:rStyle w:val="EndnoteReference"/>
          <w:rFonts w:cs="Arial"/>
        </w:rPr>
        <w:endnoteReference w:id="19"/>
      </w:r>
      <w:r w:rsidRPr="005D7EEC">
        <w:rPr>
          <w:rFonts w:cs="Arial"/>
        </w:rPr>
        <w:t xml:space="preserve">. </w:t>
      </w:r>
    </w:p>
    <w:p w14:paraId="66101AE4" w14:textId="77777777" w:rsidR="009518E9" w:rsidRPr="005D7EEC" w:rsidRDefault="009518E9" w:rsidP="009518E9">
      <w:pPr>
        <w:rPr>
          <w:rFonts w:cs="Arial"/>
        </w:rPr>
      </w:pPr>
      <w:proofErr w:type="spellStart"/>
      <w:r w:rsidRPr="005D7EEC">
        <w:rPr>
          <w:rFonts w:cs="Arial"/>
          <w:b/>
          <w:bCs/>
        </w:rPr>
        <w:t>Oosterwold</w:t>
      </w:r>
      <w:proofErr w:type="spellEnd"/>
      <w:r w:rsidRPr="005D7EEC">
        <w:rPr>
          <w:rFonts w:cs="Arial"/>
        </w:rPr>
        <w:t xml:space="preserve"> is a peri-urban district on the eastern-outskirts of Almere where the municipality has adopted a planning approach that combines residential development with ongoing agricultural activity</w:t>
      </w:r>
      <w:r w:rsidRPr="005D7EEC">
        <w:rPr>
          <w:rStyle w:val="EndnoteReference"/>
          <w:rFonts w:cs="Arial"/>
        </w:rPr>
        <w:endnoteReference w:id="20"/>
      </w:r>
      <w:r w:rsidRPr="005D7EEC">
        <w:rPr>
          <w:rFonts w:cs="Arial"/>
        </w:rPr>
        <w:t xml:space="preserve">. Almere also has the aim of producing “10 percent of its future food” from </w:t>
      </w:r>
      <w:proofErr w:type="spellStart"/>
      <w:r w:rsidRPr="005D7EEC">
        <w:rPr>
          <w:rFonts w:cs="Arial"/>
        </w:rPr>
        <w:t>Oosterwold</w:t>
      </w:r>
      <w:proofErr w:type="spellEnd"/>
      <w:r w:rsidRPr="005D7EEC">
        <w:rPr>
          <w:rStyle w:val="EndnoteReference"/>
          <w:rFonts w:cs="Arial"/>
        </w:rPr>
        <w:endnoteReference w:id="21"/>
      </w:r>
      <w:r w:rsidRPr="005D7EEC">
        <w:rPr>
          <w:rFonts w:cs="Arial"/>
        </w:rPr>
        <w:t xml:space="preserve">. </w:t>
      </w:r>
    </w:p>
    <w:p w14:paraId="12E4898D" w14:textId="77777777" w:rsidR="009518E9" w:rsidRPr="005D7EEC" w:rsidRDefault="009518E9" w:rsidP="009518E9">
      <w:pPr>
        <w:rPr>
          <w:rFonts w:cs="Arial"/>
        </w:rPr>
      </w:pPr>
      <w:r w:rsidRPr="005D7EEC">
        <w:rPr>
          <w:rFonts w:cs="Arial"/>
        </w:rPr>
        <w:t xml:space="preserve">Planning approaches in </w:t>
      </w:r>
      <w:proofErr w:type="spellStart"/>
      <w:r w:rsidRPr="005D7EEC">
        <w:rPr>
          <w:rFonts w:cs="Arial"/>
        </w:rPr>
        <w:t>Oosterwold</w:t>
      </w:r>
      <w:proofErr w:type="spellEnd"/>
      <w:r w:rsidRPr="005D7EEC">
        <w:rPr>
          <w:rFonts w:cs="Arial"/>
        </w:rPr>
        <w:t xml:space="preserve"> have avoided a detailed blueprint or masterplan. Instead, the development of the area occurs more organically, within minimal land use planning rules and “dependent on the self-organisation of the (future) residents”</w:t>
      </w:r>
      <w:r w:rsidRPr="005D7EEC">
        <w:rPr>
          <w:rStyle w:val="EndnoteReference"/>
          <w:rFonts w:cs="Arial"/>
        </w:rPr>
        <w:endnoteReference w:id="22"/>
      </w:r>
      <w:r w:rsidRPr="005D7EEC">
        <w:rPr>
          <w:rFonts w:cs="Arial"/>
        </w:rPr>
        <w:t xml:space="preserve">. </w:t>
      </w:r>
    </w:p>
    <w:p w14:paraId="647DAF33" w14:textId="77777777" w:rsidR="009518E9" w:rsidRPr="005D7EEC" w:rsidRDefault="009518E9" w:rsidP="009518E9">
      <w:pPr>
        <w:rPr>
          <w:rFonts w:cs="Arial"/>
        </w:rPr>
      </w:pPr>
      <w:r w:rsidRPr="005D7EEC">
        <w:rPr>
          <w:rFonts w:cs="Arial"/>
        </w:rPr>
        <w:t>Academics note that due to the population of Almere, as well as the prospected growth in population, the city has not been “spared by urbanisation or the problem of feeding the city”</w:t>
      </w:r>
      <w:r w:rsidRPr="005D7EEC">
        <w:rPr>
          <w:rStyle w:val="EndnoteReference"/>
          <w:rFonts w:cs="Arial"/>
        </w:rPr>
        <w:endnoteReference w:id="23"/>
      </w:r>
      <w:r w:rsidRPr="005D7EEC">
        <w:rPr>
          <w:rFonts w:cs="Arial"/>
        </w:rPr>
        <w:t xml:space="preserve">. Almere’s food-orientated planning represents both the continuation of its agricultural heritage and an experimental approach which integrates housing, self-organisation and food. </w:t>
      </w:r>
    </w:p>
    <w:p w14:paraId="44B73495" w14:textId="77777777" w:rsidR="009518E9" w:rsidRPr="005D7EEC" w:rsidRDefault="009518E9" w:rsidP="009518E9">
      <w:pPr>
        <w:rPr>
          <w:rFonts w:cs="Arial"/>
        </w:rPr>
      </w:pPr>
      <w:r w:rsidRPr="005D7EEC">
        <w:rPr>
          <w:rFonts w:cs="Arial"/>
        </w:rPr>
        <w:t xml:space="preserve">Other parts of Almere have also focused on food. Architects we interviewed who have completed a number of projects in Almere, including in the peri-urban neighbourhood of </w:t>
      </w:r>
      <w:proofErr w:type="spellStart"/>
      <w:r w:rsidRPr="005D7EEC">
        <w:rPr>
          <w:rFonts w:cs="Arial"/>
          <w:b/>
          <w:bCs/>
        </w:rPr>
        <w:t>Nobelhorst</w:t>
      </w:r>
      <w:proofErr w:type="spellEnd"/>
      <w:r w:rsidRPr="005D7EEC">
        <w:rPr>
          <w:rFonts w:cs="Arial"/>
        </w:rPr>
        <w:t>, explain that the area “calls itself the village of Almere” and has a “</w:t>
      </w:r>
      <w:proofErr w:type="spellStart"/>
      <w:r w:rsidRPr="005D7EEC">
        <w:rPr>
          <w:rFonts w:cs="Arial"/>
        </w:rPr>
        <w:t>Buurtschuur</w:t>
      </w:r>
      <w:proofErr w:type="spellEnd"/>
      <w:r w:rsidRPr="005D7EEC">
        <w:rPr>
          <w:rFonts w:cs="Arial"/>
        </w:rPr>
        <w:t>” (Neighbourhood Barn). They explained:</w:t>
      </w:r>
    </w:p>
    <w:p w14:paraId="4369180A" w14:textId="77777777" w:rsidR="009518E9" w:rsidRPr="005D7EEC" w:rsidRDefault="009518E9" w:rsidP="009518E9">
      <w:pPr>
        <w:ind w:left="720" w:firstLine="30"/>
        <w:rPr>
          <w:rFonts w:cs="Arial"/>
        </w:rPr>
      </w:pPr>
      <w:r w:rsidRPr="005D7EEC">
        <w:rPr>
          <w:rFonts w:cs="Arial"/>
        </w:rPr>
        <w:t>“Residents get a piece of land and a budget and can choose how to use it. Some made a garden for vegetables, some made a barn to have birthday parties, or whatever you want and does not fit in your living room.”</w:t>
      </w:r>
    </w:p>
    <w:p w14:paraId="31CBFE4B" w14:textId="77777777" w:rsidR="009518E9" w:rsidRPr="005D7EEC" w:rsidRDefault="009518E9" w:rsidP="009518E9">
      <w:pPr>
        <w:rPr>
          <w:rFonts w:cs="Arial"/>
        </w:rPr>
      </w:pPr>
      <w:r w:rsidRPr="005D7EEC">
        <w:rPr>
          <w:rFonts w:cs="Arial"/>
        </w:rPr>
        <w:lastRenderedPageBreak/>
        <w:t xml:space="preserve">The architects reflected, from a recent visit to </w:t>
      </w:r>
      <w:proofErr w:type="spellStart"/>
      <w:r w:rsidRPr="005D7EEC">
        <w:rPr>
          <w:rFonts w:cs="Arial"/>
        </w:rPr>
        <w:t>Nobelhorst</w:t>
      </w:r>
      <w:proofErr w:type="spellEnd"/>
      <w:r w:rsidRPr="005D7EEC">
        <w:rPr>
          <w:rFonts w:cs="Arial"/>
        </w:rPr>
        <w:t>, that “when you see the kids’ toys laying all over the playground you realise they are at home in their neighbourhood”.</w:t>
      </w:r>
    </w:p>
    <w:p w14:paraId="37D1B5DE" w14:textId="657D2741" w:rsidR="009518E9" w:rsidRPr="005D7EEC" w:rsidRDefault="009518E9" w:rsidP="009518E9">
      <w:pPr>
        <w:rPr>
          <w:rFonts w:cs="Arial"/>
        </w:rPr>
      </w:pPr>
      <w:r w:rsidRPr="005D7EEC">
        <w:rPr>
          <w:rFonts w:cs="Arial"/>
        </w:rPr>
        <w:t xml:space="preserve">The examples of </w:t>
      </w:r>
      <w:proofErr w:type="spellStart"/>
      <w:r w:rsidRPr="005D7EEC">
        <w:rPr>
          <w:rFonts w:cs="Arial"/>
        </w:rPr>
        <w:t>Oosterwold</w:t>
      </w:r>
      <w:proofErr w:type="spellEnd"/>
      <w:r w:rsidRPr="005D7EEC">
        <w:rPr>
          <w:rFonts w:cs="Arial"/>
        </w:rPr>
        <w:t xml:space="preserve"> and </w:t>
      </w:r>
      <w:proofErr w:type="spellStart"/>
      <w:r w:rsidRPr="005D7EEC">
        <w:rPr>
          <w:rFonts w:cs="Arial"/>
        </w:rPr>
        <w:t>Nobelhorst</w:t>
      </w:r>
      <w:proofErr w:type="spellEnd"/>
      <w:r w:rsidRPr="005D7EEC">
        <w:rPr>
          <w:rFonts w:cs="Arial"/>
        </w:rPr>
        <w:t xml:space="preserve"> are significant within the case study of Almere as local planning experiments. They are also important as part of Almere’s broader </w:t>
      </w:r>
      <w:r w:rsidRPr="005D7EEC">
        <w:rPr>
          <w:rFonts w:cs="Arial"/>
          <w:b/>
          <w:bCs/>
        </w:rPr>
        <w:t>urban food strategy</w:t>
      </w:r>
      <w:r w:rsidRPr="005D7EEC">
        <w:rPr>
          <w:rFonts w:cs="Arial"/>
        </w:rPr>
        <w:t>. This is supported by Dutch national policies that encourage innovation in sustainable development</w:t>
      </w:r>
      <w:r w:rsidRPr="005D7EEC">
        <w:rPr>
          <w:rStyle w:val="EndnoteReference"/>
          <w:rFonts w:cs="Arial"/>
        </w:rPr>
        <w:endnoteReference w:id="24"/>
      </w:r>
      <w:r w:rsidRPr="005D7EEC">
        <w:rPr>
          <w:rFonts w:cs="Arial"/>
        </w:rPr>
        <w:t xml:space="preserve">. The self-organising framework here moves away from conventional planning or governance models. The municipality provides only broad parameters and leaves the practicalities of design, organisation and farming up to residents. In </w:t>
      </w:r>
      <w:proofErr w:type="spellStart"/>
      <w:r w:rsidRPr="005D7EEC">
        <w:rPr>
          <w:rFonts w:cs="Arial"/>
        </w:rPr>
        <w:t>Oosterwold</w:t>
      </w:r>
      <w:proofErr w:type="spellEnd"/>
      <w:r w:rsidRPr="005D7EEC">
        <w:rPr>
          <w:rFonts w:cs="Arial"/>
        </w:rPr>
        <w:t>, as many residents do not come from backgrounds in agriculture, a handbook which contains background information in urban agriculture is provided to residents. Community groups have also organised knowledge exchanges on urban agriculture</w:t>
      </w:r>
      <w:r w:rsidRPr="005D7EEC">
        <w:rPr>
          <w:rStyle w:val="EndnoteReference"/>
          <w:rFonts w:cs="Arial"/>
        </w:rPr>
        <w:endnoteReference w:id="25"/>
      </w:r>
      <w:r w:rsidRPr="005D7EEC">
        <w:rPr>
          <w:rFonts w:cs="Arial"/>
        </w:rPr>
        <w:t>. For urban planners internationally, Almere demonstrates how food systems can be creatively included in planning</w:t>
      </w:r>
      <w:r w:rsidRPr="005D7EEC">
        <w:rPr>
          <w:rStyle w:val="EndnoteReference"/>
          <w:rFonts w:cs="Arial"/>
        </w:rPr>
        <w:endnoteReference w:id="26"/>
      </w:r>
      <w:r w:rsidRPr="005D7EEC">
        <w:rPr>
          <w:rFonts w:cs="Arial"/>
        </w:rPr>
        <w:t xml:space="preserve">. </w:t>
      </w:r>
    </w:p>
    <w:p w14:paraId="033AE722" w14:textId="77777777" w:rsidR="009518E9" w:rsidRPr="005D7EEC" w:rsidRDefault="009518E9" w:rsidP="009518E9">
      <w:pPr>
        <w:rPr>
          <w:rFonts w:cs="Arial"/>
        </w:rPr>
      </w:pPr>
      <w:r w:rsidRPr="005D7EEC">
        <w:rPr>
          <w:rFonts w:cs="Arial"/>
          <w:noProof/>
        </w:rPr>
        <w:drawing>
          <wp:anchor distT="0" distB="0" distL="114300" distR="114300" simplePos="0" relativeHeight="251658245" behindDoc="0" locked="0" layoutInCell="1" allowOverlap="1" wp14:anchorId="7B10CA18" wp14:editId="138043EA">
            <wp:simplePos x="0" y="0"/>
            <wp:positionH relativeFrom="margin">
              <wp:align>left</wp:align>
            </wp:positionH>
            <wp:positionV relativeFrom="paragraph">
              <wp:posOffset>84859</wp:posOffset>
            </wp:positionV>
            <wp:extent cx="4559300" cy="3034475"/>
            <wp:effectExtent l="0" t="0" r="0" b="0"/>
            <wp:wrapSquare wrapText="bothSides"/>
            <wp:docPr id="646149436" name="drawing" descr="Fields with a gravel tree-lined path. In the distance there are large buildings with substantial, sloping tiled rooves of varying shapes and red tiles. Behind them is a forest, and behind that are three large wi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9436" name="drawing" descr="Fields with a gravel tree-lined path. In the distance there are large buildings with substantial, sloping tiled rooves of varying shapes and red tiles. Behind them is a forest, and behind that are three large wind turbines."/>
                    <pic:cNvPicPr/>
                  </pic:nvPicPr>
                  <pic:blipFill>
                    <a:blip r:embed="rId25" cstate="screen">
                      <a:extLst>
                        <a:ext uri="{28A0092B-C50C-407E-A947-70E740481C1C}">
                          <a14:useLocalDpi xmlns:a14="http://schemas.microsoft.com/office/drawing/2010/main"/>
                        </a:ext>
                      </a:extLst>
                    </a:blip>
                    <a:stretch>
                      <a:fillRect/>
                    </a:stretch>
                  </pic:blipFill>
                  <pic:spPr>
                    <a:xfrm>
                      <a:off x="0" y="0"/>
                      <a:ext cx="4568964" cy="3040907"/>
                    </a:xfrm>
                    <a:prstGeom prst="rect">
                      <a:avLst/>
                    </a:prstGeom>
                  </pic:spPr>
                </pic:pic>
              </a:graphicData>
            </a:graphic>
            <wp14:sizeRelH relativeFrom="page">
              <wp14:pctWidth>0</wp14:pctWidth>
            </wp14:sizeRelH>
            <wp14:sizeRelV relativeFrom="page">
              <wp14:pctHeight>0</wp14:pctHeight>
            </wp14:sizeRelV>
          </wp:anchor>
        </w:drawing>
      </w:r>
    </w:p>
    <w:p w14:paraId="05C1C2E5" w14:textId="77777777" w:rsidR="009518E9" w:rsidRPr="005D7EEC" w:rsidRDefault="009518E9" w:rsidP="009518E9">
      <w:pPr>
        <w:rPr>
          <w:rFonts w:cs="Arial"/>
        </w:rPr>
      </w:pPr>
    </w:p>
    <w:p w14:paraId="755E7FDE" w14:textId="77777777" w:rsidR="009518E9" w:rsidRPr="005D7EEC" w:rsidRDefault="009518E9" w:rsidP="009518E9">
      <w:pPr>
        <w:rPr>
          <w:rFonts w:cs="Arial"/>
        </w:rPr>
      </w:pPr>
    </w:p>
    <w:p w14:paraId="455C4CB8" w14:textId="77777777" w:rsidR="009518E9" w:rsidRPr="005D7EEC" w:rsidRDefault="009518E9" w:rsidP="009518E9">
      <w:pPr>
        <w:rPr>
          <w:rFonts w:cs="Arial"/>
        </w:rPr>
      </w:pPr>
    </w:p>
    <w:p w14:paraId="00F7FAC0" w14:textId="77777777" w:rsidR="009518E9" w:rsidRPr="005D7EEC" w:rsidRDefault="009518E9" w:rsidP="009518E9">
      <w:pPr>
        <w:rPr>
          <w:rFonts w:cs="Arial"/>
        </w:rPr>
      </w:pPr>
    </w:p>
    <w:p w14:paraId="445B4B4D" w14:textId="77777777" w:rsidR="009518E9" w:rsidRPr="005D7EEC" w:rsidRDefault="009518E9" w:rsidP="009518E9">
      <w:pPr>
        <w:rPr>
          <w:rFonts w:cs="Arial"/>
        </w:rPr>
      </w:pPr>
    </w:p>
    <w:p w14:paraId="478048B9" w14:textId="77777777" w:rsidR="009518E9" w:rsidRPr="005D7EEC" w:rsidRDefault="009518E9" w:rsidP="009518E9">
      <w:pPr>
        <w:rPr>
          <w:rFonts w:cs="Arial"/>
        </w:rPr>
      </w:pPr>
    </w:p>
    <w:p w14:paraId="1042043E" w14:textId="19DD887E" w:rsidR="009518E9" w:rsidRPr="005D7EEC" w:rsidRDefault="009518E9" w:rsidP="009518E9">
      <w:pPr>
        <w:rPr>
          <w:rFonts w:cs="Arial"/>
          <w:i/>
          <w:iCs/>
        </w:rPr>
      </w:pPr>
      <w:r w:rsidRPr="005D7EEC">
        <w:rPr>
          <w:rFonts w:cs="Arial"/>
          <w:i/>
          <w:iCs/>
        </w:rPr>
        <w:t>Figure 1.3: Land dedicated to farming, photograph by Ellie Pritchard, 2025</w:t>
      </w:r>
    </w:p>
    <w:p w14:paraId="4FA965DC" w14:textId="2FAF6A50" w:rsidR="009518E9" w:rsidRPr="005D7EEC" w:rsidRDefault="00B8450A" w:rsidP="00CE5506">
      <w:pPr>
        <w:pStyle w:val="Heading2"/>
        <w:rPr>
          <w:rFonts w:cs="Arial"/>
        </w:rPr>
      </w:pPr>
      <w:r w:rsidRPr="005D7EEC">
        <w:rPr>
          <w:rFonts w:cs="Arial"/>
        </w:rPr>
        <w:t xml:space="preserve">2.6 </w:t>
      </w:r>
      <w:r w:rsidR="009518E9" w:rsidRPr="005D7EEC">
        <w:rPr>
          <w:rFonts w:cs="Arial"/>
        </w:rPr>
        <w:t xml:space="preserve">Thematic discussion </w:t>
      </w:r>
    </w:p>
    <w:p w14:paraId="30B590A0" w14:textId="77777777" w:rsidR="009518E9" w:rsidRPr="005D7EEC" w:rsidRDefault="009518E9" w:rsidP="009518E9">
      <w:pPr>
        <w:pStyle w:val="Heading3"/>
        <w:rPr>
          <w:rFonts w:ascii="Arial" w:hAnsi="Arial" w:cs="Arial"/>
        </w:rPr>
      </w:pPr>
      <w:r w:rsidRPr="005D7EEC">
        <w:rPr>
          <w:rFonts w:ascii="Arial" w:hAnsi="Arial" w:cs="Arial"/>
        </w:rPr>
        <w:lastRenderedPageBreak/>
        <w:t>New towns as sites of urban experimentation</w:t>
      </w:r>
    </w:p>
    <w:p w14:paraId="407A0C96" w14:textId="77777777" w:rsidR="009518E9" w:rsidRPr="005D7EEC" w:rsidRDefault="009518E9" w:rsidP="009518E9">
      <w:pPr>
        <w:rPr>
          <w:rFonts w:cs="Arial"/>
        </w:rPr>
      </w:pPr>
      <w:r w:rsidRPr="005D7EEC">
        <w:rPr>
          <w:rFonts w:cs="Arial"/>
        </w:rPr>
        <w:t xml:space="preserve">Since Almere was first established, the city has trialled novel approaches to housing delivery. When the area opened for development in the 1970s, there was a strong emphasis on </w:t>
      </w:r>
      <w:r w:rsidRPr="005D7EEC">
        <w:rPr>
          <w:rFonts w:cs="Arial"/>
          <w:b/>
          <w:bCs/>
        </w:rPr>
        <w:t>people-</w:t>
      </w:r>
      <w:proofErr w:type="spellStart"/>
      <w:r w:rsidRPr="005D7EEC">
        <w:rPr>
          <w:rFonts w:cs="Arial"/>
          <w:b/>
          <w:bCs/>
        </w:rPr>
        <w:t>centered</w:t>
      </w:r>
      <w:proofErr w:type="spellEnd"/>
      <w:r w:rsidRPr="005D7EEC">
        <w:rPr>
          <w:rFonts w:cs="Arial"/>
          <w:b/>
          <w:bCs/>
        </w:rPr>
        <w:t xml:space="preserve"> planning</w:t>
      </w:r>
      <w:r w:rsidRPr="005D7EEC">
        <w:rPr>
          <w:rFonts w:cs="Arial"/>
        </w:rPr>
        <w:t>. Throughout the 1980s and into the early 2000s, however, neoliberal policies drove rapid urbanisation and real estate development</w:t>
      </w:r>
      <w:r w:rsidRPr="005D7EEC">
        <w:rPr>
          <w:rStyle w:val="EndnoteReference"/>
          <w:rFonts w:cs="Arial"/>
        </w:rPr>
        <w:endnoteReference w:id="27"/>
      </w:r>
      <w:r w:rsidRPr="005D7EEC">
        <w:rPr>
          <w:rFonts w:cs="Arial"/>
        </w:rPr>
        <w:t>. This evolution continued after the 2000s, when the financial crisis contributed to another evolution of Almere’s planning</w:t>
      </w:r>
      <w:r w:rsidRPr="005D7EEC">
        <w:rPr>
          <w:rStyle w:val="EndnoteReference"/>
          <w:rFonts w:cs="Arial"/>
        </w:rPr>
        <w:endnoteReference w:id="28"/>
      </w:r>
      <w:r w:rsidRPr="005D7EEC">
        <w:rPr>
          <w:rFonts w:cs="Arial"/>
        </w:rPr>
        <w:t xml:space="preserve">. This led to </w:t>
      </w:r>
      <w:r w:rsidRPr="005D7EEC">
        <w:rPr>
          <w:rFonts w:cs="Arial"/>
          <w:b/>
          <w:bCs/>
        </w:rPr>
        <w:t>experimentation with new housing models</w:t>
      </w:r>
      <w:r w:rsidRPr="005D7EEC">
        <w:rPr>
          <w:rFonts w:cs="Arial"/>
        </w:rPr>
        <w:t xml:space="preserve"> which prioritise self-organisation, community participation, and collaborative planning practices</w:t>
      </w:r>
      <w:r w:rsidRPr="005D7EEC">
        <w:rPr>
          <w:rStyle w:val="EndnoteReference"/>
          <w:rFonts w:cs="Arial"/>
        </w:rPr>
        <w:endnoteReference w:id="29"/>
      </w:r>
      <w:r w:rsidRPr="005D7EEC">
        <w:rPr>
          <w:rFonts w:cs="Arial"/>
        </w:rPr>
        <w:t xml:space="preserve">. </w:t>
      </w:r>
    </w:p>
    <w:p w14:paraId="2541B4C1" w14:textId="77777777" w:rsidR="009518E9" w:rsidRPr="005D7EEC" w:rsidRDefault="009518E9" w:rsidP="009518E9">
      <w:pPr>
        <w:rPr>
          <w:rFonts w:cs="Arial"/>
        </w:rPr>
      </w:pPr>
      <w:r w:rsidRPr="005D7EEC">
        <w:rPr>
          <w:rFonts w:cs="Arial"/>
        </w:rPr>
        <w:t>In its short history of 50 years, Almere’s approach to housing has continuously evolved. Urban planning in Almere has reflected political and economic trends of its time. This evolved from early top-down experiments, such as the 1970s neighbourhood of Almere Haven’s housing tailored for “introverts” and “extroverts”</w:t>
      </w:r>
      <w:r w:rsidRPr="005D7EEC">
        <w:rPr>
          <w:rStyle w:val="EndnoteReference"/>
          <w:rFonts w:cs="Arial"/>
        </w:rPr>
        <w:endnoteReference w:id="30"/>
      </w:r>
      <w:r w:rsidRPr="005D7EEC">
        <w:rPr>
          <w:rFonts w:cs="Arial"/>
        </w:rPr>
        <w:t xml:space="preserve">, to more recent initiatives like self-build schemes in </w:t>
      </w:r>
      <w:proofErr w:type="spellStart"/>
      <w:r w:rsidRPr="005D7EEC">
        <w:rPr>
          <w:rFonts w:cs="Arial"/>
        </w:rPr>
        <w:t>Oosterwold</w:t>
      </w:r>
      <w:proofErr w:type="spellEnd"/>
      <w:r w:rsidRPr="005D7EEC">
        <w:rPr>
          <w:rFonts w:cs="Arial"/>
        </w:rPr>
        <w:t xml:space="preserve">. Almere Haven was built with an intricate street layout that has resulted in a convoluted and poorly legible urban form. Subsequent neighbourhoods have shifted toward more accessible and connected road layouts such as in </w:t>
      </w:r>
      <w:proofErr w:type="spellStart"/>
      <w:r w:rsidRPr="005D7EEC">
        <w:rPr>
          <w:rFonts w:cs="Arial"/>
        </w:rPr>
        <w:t>Nobelhorst</w:t>
      </w:r>
      <w:proofErr w:type="spellEnd"/>
      <w:r w:rsidRPr="005D7EEC">
        <w:rPr>
          <w:rFonts w:cs="Arial"/>
        </w:rPr>
        <w:t xml:space="preserve">. </w:t>
      </w:r>
    </w:p>
    <w:p w14:paraId="76DD9138" w14:textId="77777777" w:rsidR="009518E9" w:rsidRPr="005D7EEC" w:rsidRDefault="009518E9" w:rsidP="009518E9">
      <w:pPr>
        <w:rPr>
          <w:rFonts w:cs="Arial"/>
        </w:rPr>
      </w:pPr>
      <w:r w:rsidRPr="005D7EEC">
        <w:rPr>
          <w:rFonts w:cs="Arial"/>
          <w:noProof/>
        </w:rPr>
        <w:drawing>
          <wp:anchor distT="0" distB="0" distL="114300" distR="114300" simplePos="0" relativeHeight="251658246" behindDoc="0" locked="0" layoutInCell="1" allowOverlap="1" wp14:anchorId="20F88E6A" wp14:editId="6D2DDCE6">
            <wp:simplePos x="0" y="0"/>
            <wp:positionH relativeFrom="column">
              <wp:posOffset>-31750</wp:posOffset>
            </wp:positionH>
            <wp:positionV relativeFrom="paragraph">
              <wp:posOffset>192405</wp:posOffset>
            </wp:positionV>
            <wp:extent cx="4019977" cy="2682212"/>
            <wp:effectExtent l="0" t="0" r="0" b="4445"/>
            <wp:wrapSquare wrapText="bothSides"/>
            <wp:docPr id="624078308" name="drawing" descr="3 or 4 storey housing is on the left and ahead, with little-used dedicated car parking on the street outside, perpendicular to the street, and adjacent to a canal, with large trees planted on the slope to the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78308" name="drawing" descr="3 or 4 storey housing is on the left and ahead, with little-used dedicated car parking on the street outside, perpendicular to the street, and adjacent to a canal, with large trees planted on the slope to the canal."/>
                    <pic:cNvPicPr/>
                  </pic:nvPicPr>
                  <pic:blipFill>
                    <a:blip r:embed="rId26" cstate="screen">
                      <a:extLst>
                        <a:ext uri="{28A0092B-C50C-407E-A947-70E740481C1C}">
                          <a14:useLocalDpi xmlns:a14="http://schemas.microsoft.com/office/drawing/2010/main"/>
                        </a:ext>
                      </a:extLst>
                    </a:blip>
                    <a:stretch>
                      <a:fillRect/>
                    </a:stretch>
                  </pic:blipFill>
                  <pic:spPr>
                    <a:xfrm>
                      <a:off x="0" y="0"/>
                      <a:ext cx="4019977" cy="2682212"/>
                    </a:xfrm>
                    <a:prstGeom prst="rect">
                      <a:avLst/>
                    </a:prstGeom>
                  </pic:spPr>
                </pic:pic>
              </a:graphicData>
            </a:graphic>
            <wp14:sizeRelH relativeFrom="page">
              <wp14:pctWidth>0</wp14:pctWidth>
            </wp14:sizeRelH>
            <wp14:sizeRelV relativeFrom="page">
              <wp14:pctHeight>0</wp14:pctHeight>
            </wp14:sizeRelV>
          </wp:anchor>
        </w:drawing>
      </w:r>
    </w:p>
    <w:p w14:paraId="2D1919DD" w14:textId="77777777" w:rsidR="009518E9" w:rsidRPr="005D7EEC" w:rsidRDefault="009518E9" w:rsidP="009518E9">
      <w:pPr>
        <w:rPr>
          <w:rFonts w:cs="Arial"/>
        </w:rPr>
      </w:pPr>
    </w:p>
    <w:p w14:paraId="37020B54" w14:textId="77777777" w:rsidR="009518E9" w:rsidRPr="005D7EEC" w:rsidRDefault="009518E9" w:rsidP="009518E9">
      <w:pPr>
        <w:rPr>
          <w:rFonts w:cs="Arial"/>
        </w:rPr>
      </w:pPr>
    </w:p>
    <w:p w14:paraId="64795966" w14:textId="77777777" w:rsidR="009518E9" w:rsidRPr="005D7EEC" w:rsidRDefault="009518E9" w:rsidP="009518E9">
      <w:pPr>
        <w:rPr>
          <w:rFonts w:cs="Arial"/>
        </w:rPr>
      </w:pPr>
    </w:p>
    <w:p w14:paraId="1E678DA0" w14:textId="77777777" w:rsidR="009518E9" w:rsidRPr="005D7EEC" w:rsidRDefault="009518E9" w:rsidP="009518E9">
      <w:pPr>
        <w:rPr>
          <w:rFonts w:cs="Arial"/>
        </w:rPr>
      </w:pPr>
    </w:p>
    <w:p w14:paraId="455F4E55" w14:textId="77777777" w:rsidR="009518E9" w:rsidRPr="005D7EEC" w:rsidRDefault="009518E9" w:rsidP="009518E9">
      <w:pPr>
        <w:rPr>
          <w:rFonts w:cs="Arial"/>
        </w:rPr>
      </w:pPr>
    </w:p>
    <w:p w14:paraId="744CF209" w14:textId="77777777" w:rsidR="009518E9" w:rsidRPr="005D7EEC" w:rsidRDefault="009518E9" w:rsidP="009518E9">
      <w:pPr>
        <w:rPr>
          <w:rFonts w:cs="Arial"/>
          <w:i/>
          <w:iCs/>
        </w:rPr>
      </w:pPr>
      <w:r w:rsidRPr="005D7EEC">
        <w:rPr>
          <w:rFonts w:cs="Arial"/>
          <w:i/>
          <w:iCs/>
        </w:rPr>
        <w:t>Figure 1.4: Housing in Almere Haven, photograph by Ellie Pritchard, 2025</w:t>
      </w:r>
    </w:p>
    <w:p w14:paraId="3BCD9FA8" w14:textId="77777777" w:rsidR="009518E9" w:rsidRPr="005D7EEC" w:rsidRDefault="009518E9" w:rsidP="009518E9">
      <w:pPr>
        <w:rPr>
          <w:rFonts w:cs="Arial"/>
        </w:rPr>
      </w:pPr>
      <w:proofErr w:type="spellStart"/>
      <w:r w:rsidRPr="005D7EEC">
        <w:rPr>
          <w:rFonts w:cs="Arial"/>
        </w:rPr>
        <w:lastRenderedPageBreak/>
        <w:t>Homeruskwartier</w:t>
      </w:r>
      <w:proofErr w:type="spellEnd"/>
      <w:r w:rsidRPr="005D7EEC">
        <w:rPr>
          <w:rFonts w:cs="Arial"/>
        </w:rPr>
        <w:t xml:space="preserve">, located in Almere Poort, is the largest </w:t>
      </w:r>
      <w:r w:rsidRPr="005D7EEC">
        <w:rPr>
          <w:rFonts w:cs="Arial"/>
          <w:b/>
          <w:bCs/>
        </w:rPr>
        <w:t xml:space="preserve">self-build neighbourhood </w:t>
      </w:r>
      <w:r w:rsidRPr="005D7EEC">
        <w:rPr>
          <w:rFonts w:cs="Arial"/>
        </w:rPr>
        <w:t xml:space="preserve">in the Netherlands. It is a key example of Almere’s experimental approach to housing. </w:t>
      </w:r>
      <w:proofErr w:type="spellStart"/>
      <w:r w:rsidRPr="005D7EEC">
        <w:rPr>
          <w:rFonts w:cs="Arial"/>
        </w:rPr>
        <w:t>Homeruskwartier</w:t>
      </w:r>
      <w:proofErr w:type="spellEnd"/>
      <w:r w:rsidRPr="005D7EEC">
        <w:rPr>
          <w:rFonts w:cs="Arial"/>
        </w:rPr>
        <w:t xml:space="preserve"> accommodates a broad spectrum of lower and middle-income households. This includes those who might otherwise rely on social housing</w:t>
      </w:r>
      <w:r w:rsidRPr="005D7EEC">
        <w:rPr>
          <w:rStyle w:val="EndnoteReference"/>
          <w:rFonts w:cs="Arial"/>
        </w:rPr>
        <w:endnoteReference w:id="31"/>
      </w:r>
      <w:r w:rsidRPr="005D7EEC">
        <w:rPr>
          <w:rFonts w:cs="Arial"/>
        </w:rPr>
        <w:t>. In contexts such as the Netherlands, the rise of self-builders has challenged the traditional dominance of commercial developers over land and profit</w:t>
      </w:r>
      <w:r w:rsidRPr="005D7EEC">
        <w:rPr>
          <w:rStyle w:val="EndnoteReference"/>
          <w:rFonts w:cs="Arial"/>
        </w:rPr>
        <w:endnoteReference w:id="32"/>
      </w:r>
      <w:r w:rsidRPr="005D7EEC">
        <w:rPr>
          <w:rFonts w:cs="Arial"/>
        </w:rPr>
        <w:t xml:space="preserve">. </w:t>
      </w:r>
    </w:p>
    <w:p w14:paraId="5A72B976" w14:textId="77777777" w:rsidR="009518E9" w:rsidRPr="005D7EEC" w:rsidRDefault="009518E9" w:rsidP="009518E9">
      <w:pPr>
        <w:rPr>
          <w:rFonts w:cs="Arial"/>
        </w:rPr>
      </w:pPr>
      <w:r w:rsidRPr="005D7EEC">
        <w:rPr>
          <w:rFonts w:cs="Arial"/>
        </w:rPr>
        <w:t>This form of housing has attracted the attention of planners, policy-makers, and politicians because of its potential for self-builders to reflect their social and cultural values into the making of urban space</w:t>
      </w:r>
      <w:r w:rsidRPr="005D7EEC">
        <w:rPr>
          <w:rStyle w:val="EndnoteReference"/>
          <w:rFonts w:cs="Arial"/>
        </w:rPr>
        <w:endnoteReference w:id="33"/>
      </w:r>
      <w:r w:rsidRPr="005D7EEC">
        <w:rPr>
          <w:rFonts w:cs="Arial"/>
        </w:rPr>
        <w:t>. As the project began before the 2008 financial crisis, construction was able to continue even as many developers halted their activities, with self-builders carrying forward the process. Self-building is directly linked to individual household incomes, making it less vulnerable to economic fluctuations than large-scale developments</w:t>
      </w:r>
      <w:r w:rsidRPr="005D7EEC">
        <w:rPr>
          <w:rStyle w:val="EndnoteReference"/>
          <w:rFonts w:cs="Arial"/>
        </w:rPr>
        <w:endnoteReference w:id="34"/>
      </w:r>
      <w:r w:rsidRPr="005D7EEC">
        <w:rPr>
          <w:rFonts w:cs="Arial"/>
        </w:rPr>
        <w:t xml:space="preserve">.   </w:t>
      </w:r>
    </w:p>
    <w:p w14:paraId="7E41BE01" w14:textId="6A0A6C7A" w:rsidR="009518E9" w:rsidRPr="005D7EEC" w:rsidRDefault="009518E9" w:rsidP="009518E9">
      <w:pPr>
        <w:rPr>
          <w:rFonts w:eastAsia="Aptos" w:cs="Arial"/>
        </w:rPr>
      </w:pPr>
      <w:r w:rsidRPr="005D7EEC">
        <w:rPr>
          <w:rFonts w:cs="Arial"/>
        </w:rPr>
        <w:t>Self-building is a form of “do-it-yourself" urbanism, making it a symbol of individual freedom. Yet, in practice, self-build typically relies on frameworks such as “master planning, regulatory guidance, and building codes</w:t>
      </w:r>
      <w:r w:rsidRPr="005D7EEC">
        <w:rPr>
          <w:rStyle w:val="EndnoteReference"/>
          <w:rFonts w:cs="Arial"/>
        </w:rPr>
        <w:endnoteReference w:id="35"/>
      </w:r>
      <w:r w:rsidRPr="005D7EEC">
        <w:rPr>
          <w:rFonts w:cs="Arial"/>
        </w:rPr>
        <w:t>. An example of this are “plot passports”, which are offered to residents and outline the parameters for what is possible on their land</w:t>
      </w:r>
      <w:r w:rsidRPr="005D7EEC">
        <w:rPr>
          <w:rStyle w:val="EndnoteReference"/>
          <w:rFonts w:cs="Arial"/>
        </w:rPr>
        <w:endnoteReference w:id="36"/>
      </w:r>
      <w:r w:rsidRPr="005D7EEC">
        <w:rPr>
          <w:rFonts w:cs="Arial"/>
        </w:rPr>
        <w:t>. These have been understood as a source of “inspiration” for residents as opposed to restricting them</w:t>
      </w:r>
      <w:r w:rsidRPr="005D7EEC">
        <w:rPr>
          <w:rStyle w:val="EndnoteReference"/>
          <w:rFonts w:cs="Arial"/>
        </w:rPr>
        <w:endnoteReference w:id="37"/>
      </w:r>
      <w:r w:rsidRPr="005D7EEC">
        <w:rPr>
          <w:rFonts w:cs="Arial"/>
        </w:rPr>
        <w:t xml:space="preserve">. </w:t>
      </w:r>
      <w:r w:rsidRPr="005D7EEC">
        <w:rPr>
          <w:rFonts w:eastAsia="Aptos" w:cs="Arial"/>
        </w:rPr>
        <w:t xml:space="preserve">Self-build programmes in Almere foster a sense of </w:t>
      </w:r>
      <w:r w:rsidRPr="005D7EEC">
        <w:rPr>
          <w:rFonts w:eastAsia="Aptos" w:cs="Arial"/>
          <w:b/>
          <w:bCs/>
        </w:rPr>
        <w:t>connectedness to place</w:t>
      </w:r>
      <w:r w:rsidRPr="005D7EEC">
        <w:rPr>
          <w:rFonts w:eastAsia="Aptos" w:cs="Arial"/>
        </w:rPr>
        <w:t xml:space="preserve"> that is particularly valuable in a new town context, offering a compelling model for resident-led housing initiatives internationally.</w:t>
      </w:r>
    </w:p>
    <w:p w14:paraId="3B2319E9" w14:textId="77777777" w:rsidR="009518E9" w:rsidRPr="005D7EEC" w:rsidRDefault="009518E9" w:rsidP="009518E9">
      <w:pPr>
        <w:rPr>
          <w:rFonts w:cs="Arial"/>
        </w:rPr>
      </w:pPr>
      <w:r w:rsidRPr="005D7EEC">
        <w:rPr>
          <w:rFonts w:cs="Arial"/>
        </w:rPr>
        <w:t>Almere has been called a “</w:t>
      </w:r>
      <w:r w:rsidRPr="005D7EEC">
        <w:rPr>
          <w:rFonts w:cs="Arial"/>
          <w:b/>
          <w:bCs/>
        </w:rPr>
        <w:t>laboratory for innovative housing solutions</w:t>
      </w:r>
      <w:r w:rsidRPr="005D7EEC">
        <w:rPr>
          <w:rFonts w:cs="Arial"/>
        </w:rPr>
        <w:t>”</w:t>
      </w:r>
      <w:r w:rsidRPr="005D7EEC">
        <w:rPr>
          <w:rStyle w:val="EndnoteReference"/>
          <w:rFonts w:cs="Arial"/>
        </w:rPr>
        <w:endnoteReference w:id="38"/>
      </w:r>
      <w:r w:rsidRPr="005D7EEC">
        <w:rPr>
          <w:rFonts w:cs="Arial"/>
        </w:rPr>
        <w:t>.</w:t>
      </w:r>
    </w:p>
    <w:p w14:paraId="4CA5C8B3" w14:textId="6B321753" w:rsidR="009518E9" w:rsidRPr="005D7EEC" w:rsidRDefault="00B8450A" w:rsidP="00CE5506">
      <w:pPr>
        <w:pStyle w:val="Heading2"/>
        <w:rPr>
          <w:rFonts w:cs="Arial"/>
        </w:rPr>
      </w:pPr>
      <w:r w:rsidRPr="005D7EEC">
        <w:rPr>
          <w:rFonts w:cs="Arial"/>
        </w:rPr>
        <w:t xml:space="preserve">2.7 </w:t>
      </w:r>
      <w:r w:rsidR="009518E9" w:rsidRPr="005D7EEC">
        <w:rPr>
          <w:rFonts w:cs="Arial"/>
        </w:rPr>
        <w:t>The significance of social and cultural lived experience</w:t>
      </w:r>
    </w:p>
    <w:p w14:paraId="0F1158B1" w14:textId="77777777" w:rsidR="009518E9" w:rsidRPr="005D7EEC" w:rsidRDefault="009518E9" w:rsidP="009518E9">
      <w:pPr>
        <w:rPr>
          <w:rFonts w:cs="Arial"/>
        </w:rPr>
      </w:pPr>
      <w:r w:rsidRPr="005D7EEC">
        <w:rPr>
          <w:rFonts w:cs="Arial"/>
        </w:rPr>
        <w:t>Almere has been praised for its multiculturalism and sense of community. Currently, the city is home to 148 nationalities, and 44 percent of the urban population has a migration background</w:t>
      </w:r>
      <w:r w:rsidRPr="005D7EEC">
        <w:rPr>
          <w:rStyle w:val="EndnoteReference"/>
          <w:rFonts w:cs="Arial"/>
        </w:rPr>
        <w:endnoteReference w:id="39"/>
      </w:r>
      <w:r w:rsidRPr="005D7EEC">
        <w:rPr>
          <w:rFonts w:cs="Arial"/>
        </w:rPr>
        <w:t xml:space="preserve">. Residents of Almere have organised a range of community groups and activities. There are “leisure locales” in Almere which include purely </w:t>
      </w:r>
      <w:r w:rsidRPr="005D7EEC">
        <w:rPr>
          <w:rFonts w:cs="Arial"/>
        </w:rPr>
        <w:lastRenderedPageBreak/>
        <w:t>recreational areas such as a beach, lakes, and woodlands, as well as mixed-use areas such as shopping and entertainment areas</w:t>
      </w:r>
      <w:r w:rsidRPr="005D7EEC">
        <w:rPr>
          <w:rStyle w:val="EndnoteReference"/>
          <w:rFonts w:cs="Arial"/>
        </w:rPr>
        <w:endnoteReference w:id="40"/>
      </w:r>
      <w:r w:rsidRPr="005D7EEC">
        <w:rPr>
          <w:rFonts w:cs="Arial"/>
        </w:rPr>
        <w:t>. Many of these “leisure locales” are orientated around nature, which has “strengthened future thinking” and created different types of landscapes, which in turn allow for more “possibilities of rootedness”</w:t>
      </w:r>
      <w:r w:rsidRPr="005D7EEC">
        <w:rPr>
          <w:rStyle w:val="EndnoteReference"/>
          <w:rFonts w:cs="Arial"/>
        </w:rPr>
        <w:endnoteReference w:id="41"/>
      </w:r>
      <w:r w:rsidRPr="005D7EEC">
        <w:rPr>
          <w:rFonts w:cs="Arial"/>
        </w:rPr>
        <w:t xml:space="preserve">. </w:t>
      </w:r>
    </w:p>
    <w:p w14:paraId="278433BA" w14:textId="77777777" w:rsidR="009518E9" w:rsidRPr="005D7EEC" w:rsidRDefault="009518E9" w:rsidP="009518E9">
      <w:pPr>
        <w:rPr>
          <w:rFonts w:cs="Arial"/>
          <w:color w:val="FF0000"/>
        </w:rPr>
      </w:pPr>
      <w:r w:rsidRPr="005D7EEC">
        <w:rPr>
          <w:rFonts w:cs="Arial"/>
        </w:rPr>
        <w:t xml:space="preserve">The extensive and well-connected public transport, footpaths, and bicycle lanes are also a significant component of the sociability of the city. Almere has six railway stations which connect the city to Amsterdam and the wider region. Railway stations are integrated with extensive bus and tram services, bicycle lanes and pedestrian paths to reduce car dependency through sustainable mobility and active travel. </w:t>
      </w:r>
    </w:p>
    <w:p w14:paraId="15C12D9B" w14:textId="6453711D" w:rsidR="009518E9" w:rsidRPr="005D7EEC" w:rsidRDefault="00CE5506" w:rsidP="009518E9">
      <w:pPr>
        <w:rPr>
          <w:rFonts w:cs="Arial"/>
        </w:rPr>
      </w:pPr>
      <w:r w:rsidRPr="005D7EEC">
        <w:rPr>
          <w:rFonts w:cs="Arial"/>
          <w:noProof/>
        </w:rPr>
        <w:drawing>
          <wp:anchor distT="0" distB="0" distL="114300" distR="114300" simplePos="0" relativeHeight="251658247" behindDoc="0" locked="0" layoutInCell="1" allowOverlap="1" wp14:anchorId="0DEE97D4" wp14:editId="12875754">
            <wp:simplePos x="0" y="0"/>
            <wp:positionH relativeFrom="margin">
              <wp:align>left</wp:align>
            </wp:positionH>
            <wp:positionV relativeFrom="paragraph">
              <wp:posOffset>2062480</wp:posOffset>
            </wp:positionV>
            <wp:extent cx="4508500" cy="2902585"/>
            <wp:effectExtent l="0" t="0" r="6350" b="0"/>
            <wp:wrapSquare wrapText="bothSides"/>
            <wp:docPr id="1064601914" name="drawing" descr="A large multi-platform railway station, likely Almere Centraal, raised above ground-level and spanning a road. The roof of the station is made of glass and of a distinctive 1980s design featuring lots of triangular shapes and red and blue beams. On the road there are two parked busses, and a small number of pedestrians. A corner of a pedestrian plaza is visible with young trees and fishbone paving of various 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01914" name="drawing" descr="A large multi-platform railway station, likely Almere Centraal, raised above ground-level and spanning a road. The roof of the station is made of glass and of a distinctive 1980s design featuring lots of triangular shapes and red and blue beams. On the road there are two parked busses, and a small number of pedestrians. A corner of a pedestrian plaza is visible with young trees and fishbone paving of various shades."/>
                    <pic:cNvPicPr/>
                  </pic:nvPicPr>
                  <pic:blipFill>
                    <a:blip r:embed="rId27" cstate="screen">
                      <a:extLst>
                        <a:ext uri="{28A0092B-C50C-407E-A947-70E740481C1C}">
                          <a14:useLocalDpi xmlns:a14="http://schemas.microsoft.com/office/drawing/2010/main"/>
                        </a:ext>
                      </a:extLst>
                    </a:blip>
                    <a:stretch>
                      <a:fillRect/>
                    </a:stretch>
                  </pic:blipFill>
                  <pic:spPr>
                    <a:xfrm>
                      <a:off x="0" y="0"/>
                      <a:ext cx="4508500" cy="2902585"/>
                    </a:xfrm>
                    <a:prstGeom prst="rect">
                      <a:avLst/>
                    </a:prstGeom>
                  </pic:spPr>
                </pic:pic>
              </a:graphicData>
            </a:graphic>
            <wp14:sizeRelH relativeFrom="page">
              <wp14:pctWidth>0</wp14:pctWidth>
            </wp14:sizeRelH>
            <wp14:sizeRelV relativeFrom="page">
              <wp14:pctHeight>0</wp14:pctHeight>
            </wp14:sizeRelV>
          </wp:anchor>
        </w:drawing>
      </w:r>
      <w:r w:rsidR="009518E9" w:rsidRPr="005D7EEC">
        <w:rPr>
          <w:rFonts w:cs="Arial"/>
        </w:rPr>
        <w:t xml:space="preserve">Like many new towns internationally, dominant narratives of Almere are often negative. In a newspaper poll in 2008, Almere was voted the “ugliest city in the Netherlands”, along with </w:t>
      </w:r>
      <w:proofErr w:type="spellStart"/>
      <w:r w:rsidR="009518E9" w:rsidRPr="005D7EEC">
        <w:rPr>
          <w:rFonts w:cs="Arial"/>
        </w:rPr>
        <w:t>Nieuwegein</w:t>
      </w:r>
      <w:proofErr w:type="spellEnd"/>
      <w:r w:rsidR="009518E9" w:rsidRPr="005D7EEC">
        <w:rPr>
          <w:rFonts w:cs="Arial"/>
        </w:rPr>
        <w:t>, another new town built in the 1970s</w:t>
      </w:r>
      <w:r w:rsidR="009518E9" w:rsidRPr="005D7EEC">
        <w:rPr>
          <w:rStyle w:val="EndnoteReference"/>
          <w:rFonts w:cs="Arial"/>
        </w:rPr>
        <w:endnoteReference w:id="42"/>
      </w:r>
      <w:r w:rsidR="009518E9" w:rsidRPr="005D7EEC">
        <w:rPr>
          <w:rFonts w:cs="Arial"/>
        </w:rPr>
        <w:t>. A shared characteristic of the nominated cities is that they are familiar to the Dutch public by name but rarely attract visitors from outside the local population. As a result, perceptions are shaped less by direct experience and more by assumptions and stereotypes</w:t>
      </w:r>
      <w:r w:rsidR="009518E9" w:rsidRPr="005D7EEC">
        <w:rPr>
          <w:rStyle w:val="EndnoteReference"/>
          <w:rFonts w:cs="Arial"/>
        </w:rPr>
        <w:endnoteReference w:id="43"/>
      </w:r>
      <w:r w:rsidR="009518E9" w:rsidRPr="005D7EEC">
        <w:rPr>
          <w:rFonts w:cs="Arial"/>
        </w:rPr>
        <w:t>.</w:t>
      </w:r>
    </w:p>
    <w:p w14:paraId="32CC5152" w14:textId="3E8A8D17" w:rsidR="009518E9" w:rsidRPr="005D7EEC" w:rsidRDefault="009518E9" w:rsidP="009518E9">
      <w:pPr>
        <w:rPr>
          <w:rFonts w:cs="Arial"/>
        </w:rPr>
      </w:pPr>
    </w:p>
    <w:p w14:paraId="63588F34" w14:textId="77777777" w:rsidR="009518E9" w:rsidRPr="005D7EEC" w:rsidRDefault="009518E9" w:rsidP="009518E9">
      <w:pPr>
        <w:rPr>
          <w:rFonts w:cs="Arial"/>
        </w:rPr>
      </w:pPr>
    </w:p>
    <w:p w14:paraId="577AA49E" w14:textId="77777777" w:rsidR="009518E9" w:rsidRPr="005D7EEC" w:rsidRDefault="009518E9" w:rsidP="009518E9">
      <w:pPr>
        <w:rPr>
          <w:rFonts w:cs="Arial"/>
        </w:rPr>
      </w:pPr>
    </w:p>
    <w:p w14:paraId="170A1C5D" w14:textId="77777777" w:rsidR="009518E9" w:rsidRPr="005D7EEC" w:rsidRDefault="009518E9" w:rsidP="009518E9">
      <w:pPr>
        <w:rPr>
          <w:rFonts w:cs="Arial"/>
        </w:rPr>
      </w:pPr>
    </w:p>
    <w:p w14:paraId="79EEE2E4" w14:textId="77777777" w:rsidR="009518E9" w:rsidRPr="005D7EEC" w:rsidRDefault="009518E9" w:rsidP="009518E9">
      <w:pPr>
        <w:rPr>
          <w:rFonts w:cs="Arial"/>
        </w:rPr>
      </w:pPr>
    </w:p>
    <w:p w14:paraId="25975E42" w14:textId="77777777" w:rsidR="009518E9" w:rsidRPr="005D7EEC" w:rsidRDefault="009518E9" w:rsidP="009518E9">
      <w:pPr>
        <w:rPr>
          <w:rFonts w:cs="Arial"/>
        </w:rPr>
      </w:pPr>
    </w:p>
    <w:p w14:paraId="3679D498" w14:textId="0DDE3C62" w:rsidR="009518E9" w:rsidRPr="005D7EEC" w:rsidRDefault="009518E9" w:rsidP="009518E9">
      <w:pPr>
        <w:rPr>
          <w:rFonts w:cs="Arial"/>
          <w:i/>
          <w:iCs/>
        </w:rPr>
      </w:pPr>
      <w:r w:rsidRPr="005D7EEC">
        <w:rPr>
          <w:rFonts w:cs="Arial"/>
          <w:i/>
          <w:iCs/>
        </w:rPr>
        <w:t>Figure 1.5: Railway station with bus interchange, photograph Susan Parham, 2025</w:t>
      </w:r>
    </w:p>
    <w:p w14:paraId="7ADD94F2" w14:textId="5835778B" w:rsidR="009518E9" w:rsidRPr="005D7EEC" w:rsidRDefault="00B8450A" w:rsidP="00CE5506">
      <w:pPr>
        <w:pStyle w:val="Heading2"/>
        <w:rPr>
          <w:rFonts w:cs="Arial"/>
        </w:rPr>
      </w:pPr>
      <w:r w:rsidRPr="005D7EEC">
        <w:rPr>
          <w:rFonts w:cs="Arial"/>
        </w:rPr>
        <w:lastRenderedPageBreak/>
        <w:t xml:space="preserve">2.8 </w:t>
      </w:r>
      <w:r w:rsidR="009518E9" w:rsidRPr="005D7EEC">
        <w:rPr>
          <w:rFonts w:cs="Arial"/>
        </w:rPr>
        <w:t xml:space="preserve">Key lessons </w:t>
      </w:r>
    </w:p>
    <w:p w14:paraId="21A7FDEE" w14:textId="77777777" w:rsidR="009518E9" w:rsidRPr="005D7EEC" w:rsidRDefault="009518E9" w:rsidP="009518E9">
      <w:pPr>
        <w:pStyle w:val="Heading3"/>
        <w:rPr>
          <w:rFonts w:ascii="Arial" w:hAnsi="Arial" w:cs="Arial"/>
        </w:rPr>
      </w:pPr>
      <w:r w:rsidRPr="005D7EEC">
        <w:rPr>
          <w:rFonts w:ascii="Arial" w:eastAsia="Aptos" w:hAnsi="Arial" w:cs="Arial"/>
        </w:rPr>
        <w:t>Lesson 1: The importance of strong governance and alignment between national and local policy</w:t>
      </w:r>
    </w:p>
    <w:p w14:paraId="44C54A3C" w14:textId="77777777" w:rsidR="009518E9" w:rsidRPr="005D7EEC" w:rsidRDefault="009518E9" w:rsidP="009518E9">
      <w:pPr>
        <w:rPr>
          <w:rFonts w:cs="Arial"/>
        </w:rPr>
      </w:pPr>
      <w:r w:rsidRPr="005D7EEC">
        <w:rPr>
          <w:rFonts w:cs="Arial"/>
        </w:rPr>
        <w:t xml:space="preserve">Almere’s development was supported by national policy direction and was designated as a key growth centre. This political backing has ensured long-term investment, land availability, and delivery of infrastructure. This serves as a reminder for others that new towns and other ambitious growth projects require </w:t>
      </w:r>
      <w:r w:rsidRPr="005D7EEC">
        <w:rPr>
          <w:rFonts w:cs="Arial"/>
          <w:b/>
          <w:bCs/>
        </w:rPr>
        <w:t>consistent</w:t>
      </w:r>
      <w:r w:rsidRPr="005D7EEC">
        <w:rPr>
          <w:rFonts w:cs="Arial"/>
        </w:rPr>
        <w:t xml:space="preserve"> </w:t>
      </w:r>
      <w:r w:rsidRPr="005D7EEC">
        <w:rPr>
          <w:rFonts w:cs="Arial"/>
          <w:b/>
          <w:bCs/>
        </w:rPr>
        <w:t>national-local alignment</w:t>
      </w:r>
      <w:r w:rsidRPr="005D7EEC">
        <w:rPr>
          <w:rFonts w:cs="Arial"/>
        </w:rPr>
        <w:t xml:space="preserve"> rather than leaving delivery to market forces. In an interview with Dr Jan Eelco-Jansma, who specialises in urban and peri-urban agriculture in planning, he told us that some failures are inevitable in the development of a new town, and that taking a long-term view is helpful in delivering high quality urban areas. Almere’s development has “been an iterative process” which has involved “experimentation and learning from experimentation”. .</w:t>
      </w:r>
    </w:p>
    <w:p w14:paraId="5FBDB12B" w14:textId="77777777" w:rsidR="009518E9" w:rsidRPr="005D7EEC" w:rsidRDefault="009518E9" w:rsidP="009518E9">
      <w:pPr>
        <w:pStyle w:val="Heading3"/>
        <w:rPr>
          <w:rFonts w:ascii="Arial" w:hAnsi="Arial" w:cs="Arial"/>
        </w:rPr>
      </w:pPr>
      <w:r w:rsidRPr="005D7EEC">
        <w:rPr>
          <w:rFonts w:ascii="Arial" w:eastAsia="Aptos" w:hAnsi="Arial" w:cs="Arial"/>
        </w:rPr>
        <w:t>Lesson 2: Participatory planning and self-build can strengthen identity, creativity and food systems</w:t>
      </w:r>
    </w:p>
    <w:p w14:paraId="0B42A281" w14:textId="77777777" w:rsidR="009518E9" w:rsidRPr="005D7EEC" w:rsidRDefault="009518E9" w:rsidP="009518E9">
      <w:pPr>
        <w:rPr>
          <w:rFonts w:cs="Arial"/>
        </w:rPr>
      </w:pPr>
      <w:r w:rsidRPr="005D7EEC">
        <w:rPr>
          <w:rFonts w:cs="Arial"/>
        </w:rPr>
        <w:t xml:space="preserve">Beyond housing delivery, Almere has also pursued </w:t>
      </w:r>
      <w:r w:rsidRPr="005D7EEC">
        <w:rPr>
          <w:rFonts w:cs="Arial"/>
          <w:b/>
          <w:bCs/>
        </w:rPr>
        <w:t>innovative methods of placemaking</w:t>
      </w:r>
      <w:r w:rsidRPr="005D7EEC">
        <w:rPr>
          <w:rFonts w:cs="Arial"/>
        </w:rPr>
        <w:t xml:space="preserve">. This is notably through large-scale self-build programmes that involve residents in the development of their own neighbourhoods, including integrated urban food systems that link community identity and agriculture. In an interview on this topic an academic expert told us that “Almere has always been a city for the people”, and that there has “been an understanding that people make the city and that people need to be part of the process”. </w:t>
      </w:r>
    </w:p>
    <w:p w14:paraId="1660E736" w14:textId="77777777" w:rsidR="009518E9" w:rsidRPr="005D7EEC" w:rsidRDefault="009518E9" w:rsidP="009518E9">
      <w:pPr>
        <w:rPr>
          <w:rFonts w:cs="Arial"/>
          <w:b/>
          <w:bCs/>
        </w:rPr>
      </w:pPr>
      <w:r w:rsidRPr="005D7EEC">
        <w:rPr>
          <w:rFonts w:cs="Arial"/>
        </w:rPr>
        <w:t xml:space="preserve">It was noted that participation through self-build and urban agriculture has created a sense of rootedness and has “allowed some creativity to citizens”. The academic also highlighted the significance of narrative in the development of new towns. </w:t>
      </w:r>
      <w:r w:rsidRPr="005D7EEC">
        <w:rPr>
          <w:rFonts w:cs="Arial"/>
          <w:b/>
          <w:bCs/>
        </w:rPr>
        <w:t>Participatory methods have helped to form Almere’s urban identity</w:t>
      </w:r>
      <w:r w:rsidRPr="005D7EEC">
        <w:rPr>
          <w:rFonts w:cs="Arial"/>
        </w:rPr>
        <w:t xml:space="preserve"> as a people-focused, innovative, and green city. This link between participation and positive place identity is an international learning point.</w:t>
      </w:r>
    </w:p>
    <w:p w14:paraId="1E92CCE0" w14:textId="77777777" w:rsidR="009518E9" w:rsidRPr="005D7EEC" w:rsidRDefault="009518E9" w:rsidP="009518E9">
      <w:pPr>
        <w:pStyle w:val="Heading3"/>
        <w:rPr>
          <w:rFonts w:ascii="Arial" w:hAnsi="Arial" w:cs="Arial"/>
        </w:rPr>
      </w:pPr>
      <w:r w:rsidRPr="005D7EEC">
        <w:rPr>
          <w:rFonts w:ascii="Arial" w:eastAsia="Aptos" w:hAnsi="Arial" w:cs="Arial"/>
        </w:rPr>
        <w:lastRenderedPageBreak/>
        <w:t>Lesson 3: Early integration of sustainable transport supports liveable growth</w:t>
      </w:r>
    </w:p>
    <w:p w14:paraId="00CA6114" w14:textId="77777777" w:rsidR="009518E9" w:rsidRPr="005D7EEC" w:rsidRDefault="009518E9" w:rsidP="009518E9">
      <w:pPr>
        <w:rPr>
          <w:rFonts w:eastAsiaTheme="minorEastAsia" w:cs="Arial"/>
          <w:color w:val="000000" w:themeColor="text1"/>
        </w:rPr>
      </w:pPr>
      <w:r w:rsidRPr="005D7EEC">
        <w:rPr>
          <w:rFonts w:eastAsiaTheme="minorEastAsia" w:cs="Arial"/>
          <w:color w:val="000000" w:themeColor="text1"/>
        </w:rPr>
        <w:t xml:space="preserve">Almere’s planning has also prioritised from the town’s inception accessibility and connectivity in non-car modes of transport. Designated bus lanes, cycle paths, walkways and railway systems are interconnected to allow for active travel throughout the city. The city’s clear networks demonstrate how early integration of sustainable accessibility systems can reduce car dependency. </w:t>
      </w:r>
    </w:p>
    <w:p w14:paraId="6EFAFC7A" w14:textId="77777777" w:rsidR="009518E9" w:rsidRPr="005D7EEC" w:rsidRDefault="009518E9" w:rsidP="009518E9">
      <w:pPr>
        <w:pStyle w:val="Heading3"/>
        <w:rPr>
          <w:rFonts w:ascii="Arial" w:eastAsia="Aptos" w:hAnsi="Arial" w:cs="Arial"/>
        </w:rPr>
      </w:pPr>
      <w:r w:rsidRPr="005D7EEC">
        <w:rPr>
          <w:rFonts w:ascii="Arial" w:eastAsia="Aptos" w:hAnsi="Arial" w:cs="Arial"/>
        </w:rPr>
        <w:t xml:space="preserve">Lesson 4: Embedding green-blue infrastructure in urban form </w:t>
      </w:r>
    </w:p>
    <w:p w14:paraId="2DB4C7B6" w14:textId="77777777" w:rsidR="009518E9" w:rsidRPr="005D7EEC" w:rsidRDefault="009518E9" w:rsidP="009518E9">
      <w:pPr>
        <w:rPr>
          <w:rFonts w:cs="Arial"/>
        </w:rPr>
      </w:pPr>
      <w:r w:rsidRPr="005D7EEC">
        <w:rPr>
          <w:rFonts w:cs="Arial"/>
        </w:rPr>
        <w:t>Almere has made</w:t>
      </w:r>
      <w:r w:rsidRPr="005D7EEC">
        <w:rPr>
          <w:rFonts w:cs="Arial"/>
          <w:b/>
          <w:bCs/>
        </w:rPr>
        <w:t xml:space="preserve"> green-blue infrastructure</w:t>
      </w:r>
      <w:r w:rsidRPr="005D7EEC">
        <w:rPr>
          <w:rFonts w:cs="Arial"/>
        </w:rPr>
        <w:t xml:space="preserve"> a central organising element in urban form, weaving water management with parks, public spaces and green corridors. This provides flood resilience, mitigates urban heat, offers benefits to biodiversity, and increases liveability of urban environments.</w:t>
      </w:r>
    </w:p>
    <w:p w14:paraId="406248DE" w14:textId="45AB7E98" w:rsidR="009518E9" w:rsidRPr="005D7EEC" w:rsidRDefault="009518E9" w:rsidP="009518E9">
      <w:pPr>
        <w:rPr>
          <w:rFonts w:eastAsiaTheme="majorEastAsia" w:cs="Arial"/>
          <w:b/>
          <w:szCs w:val="26"/>
        </w:rPr>
      </w:pPr>
    </w:p>
    <w:p w14:paraId="159232B6" w14:textId="7FE5E51A" w:rsidR="009518E9" w:rsidRPr="005D7EEC" w:rsidRDefault="00B8450A" w:rsidP="00CE5506">
      <w:pPr>
        <w:pStyle w:val="Heading2"/>
        <w:rPr>
          <w:rFonts w:cs="Arial"/>
        </w:rPr>
      </w:pPr>
      <w:r w:rsidRPr="005D7EEC">
        <w:rPr>
          <w:rFonts w:cs="Arial"/>
        </w:rPr>
        <w:t xml:space="preserve">2.9 </w:t>
      </w:r>
      <w:r w:rsidR="009518E9" w:rsidRPr="005D7EEC">
        <w:rPr>
          <w:rFonts w:cs="Arial"/>
        </w:rPr>
        <w:t>References</w:t>
      </w:r>
    </w:p>
    <w:p w14:paraId="24B01D3A" w14:textId="77777777" w:rsidR="009518E9" w:rsidRPr="005D7EEC" w:rsidRDefault="009518E9" w:rsidP="009518E9">
      <w:pPr>
        <w:rPr>
          <w:rFonts w:cs="Arial"/>
        </w:rPr>
        <w:sectPr w:rsidR="009518E9" w:rsidRPr="005D7EEC" w:rsidSect="009518E9">
          <w:endnotePr>
            <w:numFmt w:val="decimal"/>
          </w:endnotePr>
          <w:pgSz w:w="11906" w:h="16838"/>
          <w:pgMar w:top="1440" w:right="1440" w:bottom="1440" w:left="1440" w:header="708" w:footer="741" w:gutter="0"/>
          <w:cols w:space="708"/>
          <w:docGrid w:linePitch="360"/>
        </w:sectPr>
      </w:pPr>
    </w:p>
    <w:p w14:paraId="135DFAE3" w14:textId="61BE7475" w:rsidR="009518E9" w:rsidRPr="005D7EEC" w:rsidRDefault="00B8450A" w:rsidP="0036491E">
      <w:pPr>
        <w:pStyle w:val="Heading1"/>
        <w:rPr>
          <w:rFonts w:cs="Arial"/>
        </w:rPr>
      </w:pPr>
      <w:bookmarkStart w:id="10" w:name="_Toc216946590"/>
      <w:bookmarkStart w:id="11" w:name="_Toc221626818"/>
      <w:r w:rsidRPr="005D7EEC">
        <w:rPr>
          <w:rFonts w:cs="Arial"/>
        </w:rPr>
        <w:lastRenderedPageBreak/>
        <w:t xml:space="preserve">3. </w:t>
      </w:r>
      <w:r w:rsidR="00CE5506" w:rsidRPr="005D7EEC">
        <w:rPr>
          <w:rFonts w:cs="Arial"/>
        </w:rPr>
        <w:t xml:space="preserve">Case study: </w:t>
      </w:r>
      <w:r w:rsidR="009518E9" w:rsidRPr="005D7EEC">
        <w:rPr>
          <w:rFonts w:cs="Arial"/>
        </w:rPr>
        <w:t>Freiburg</w:t>
      </w:r>
      <w:bookmarkEnd w:id="10"/>
      <w:bookmarkEnd w:id="11"/>
    </w:p>
    <w:p w14:paraId="176E8E84" w14:textId="77777777" w:rsidR="009518E9" w:rsidRPr="005D7EEC" w:rsidRDefault="009518E9" w:rsidP="009518E9">
      <w:pPr>
        <w:rPr>
          <w:rFonts w:cs="Arial"/>
        </w:rPr>
      </w:pPr>
      <w:r w:rsidRPr="005D7EEC">
        <w:rPr>
          <w:rFonts w:cs="Arial"/>
        </w:rPr>
        <w:t>Consistency of approach brings dividends for urban design and sustainability</w:t>
      </w:r>
    </w:p>
    <w:p w14:paraId="075E0C56" w14:textId="71445FEE" w:rsidR="009518E9" w:rsidRPr="005D7EEC" w:rsidRDefault="00B8450A" w:rsidP="00CE5506">
      <w:pPr>
        <w:pStyle w:val="Heading2"/>
        <w:rPr>
          <w:rFonts w:cs="Arial"/>
        </w:rPr>
      </w:pPr>
      <w:r w:rsidRPr="005D7EEC">
        <w:rPr>
          <w:rFonts w:cs="Arial"/>
        </w:rPr>
        <w:t xml:space="preserve">3.1 </w:t>
      </w:r>
      <w:r w:rsidR="009518E9" w:rsidRPr="005D7EEC">
        <w:rPr>
          <w:rFonts w:cs="Arial"/>
        </w:rPr>
        <w:t>Headlines</w:t>
      </w:r>
    </w:p>
    <w:p w14:paraId="3E0C036D" w14:textId="77777777" w:rsidR="009518E9" w:rsidRPr="005D7EEC" w:rsidRDefault="009518E9" w:rsidP="009518E9">
      <w:pPr>
        <w:rPr>
          <w:rFonts w:cs="Arial"/>
        </w:rPr>
      </w:pPr>
      <w:r w:rsidRPr="005D7EEC">
        <w:rPr>
          <w:rStyle w:val="Heading3Char"/>
          <w:rFonts w:cs="Arial"/>
        </w:rPr>
        <w:t>Location</w:t>
      </w:r>
    </w:p>
    <w:p w14:paraId="6DEC51AC" w14:textId="77777777" w:rsidR="009518E9" w:rsidRPr="005D7EEC" w:rsidRDefault="009518E9" w:rsidP="009518E9">
      <w:pPr>
        <w:rPr>
          <w:rFonts w:cs="Arial"/>
        </w:rPr>
      </w:pPr>
      <w:r w:rsidRPr="005D7EEC">
        <w:rPr>
          <w:rFonts w:cs="Arial"/>
        </w:rPr>
        <w:t>Freiburg, Germany, Europe</w:t>
      </w:r>
    </w:p>
    <w:p w14:paraId="1E0634F6" w14:textId="77777777" w:rsidR="009518E9" w:rsidRPr="005D7EEC" w:rsidRDefault="009518E9" w:rsidP="009518E9">
      <w:pPr>
        <w:rPr>
          <w:rFonts w:cs="Arial"/>
        </w:rPr>
      </w:pPr>
      <w:r w:rsidRPr="005D7EEC">
        <w:rPr>
          <w:rStyle w:val="Heading3Char"/>
          <w:rFonts w:cs="Arial"/>
        </w:rPr>
        <w:t>Key dates</w:t>
      </w:r>
    </w:p>
    <w:p w14:paraId="6F2A9669" w14:textId="77777777" w:rsidR="009518E9" w:rsidRPr="005D7EEC" w:rsidRDefault="009518E9" w:rsidP="009518E9">
      <w:pPr>
        <w:rPr>
          <w:rFonts w:cs="Arial"/>
        </w:rPr>
      </w:pPr>
      <w:r w:rsidRPr="005D7EEC">
        <w:rPr>
          <w:rFonts w:cs="Arial"/>
        </w:rPr>
        <w:t>1994-present</w:t>
      </w:r>
    </w:p>
    <w:p w14:paraId="4FD91A34" w14:textId="77777777" w:rsidR="009518E9" w:rsidRPr="005D7EEC" w:rsidRDefault="009518E9" w:rsidP="009518E9">
      <w:pPr>
        <w:rPr>
          <w:rFonts w:cs="Arial"/>
        </w:rPr>
      </w:pPr>
      <w:r w:rsidRPr="005D7EEC">
        <w:rPr>
          <w:rStyle w:val="Heading3Char"/>
          <w:rFonts w:cs="Arial"/>
        </w:rPr>
        <w:t>Key features</w:t>
      </w:r>
    </w:p>
    <w:p w14:paraId="56CF11A2" w14:textId="77777777" w:rsidR="009518E9" w:rsidRPr="005D7EEC" w:rsidRDefault="009518E9" w:rsidP="009518E9">
      <w:pPr>
        <w:rPr>
          <w:rFonts w:cs="Arial"/>
        </w:rPr>
      </w:pPr>
      <w:r w:rsidRPr="005D7EEC">
        <w:rPr>
          <w:rFonts w:cs="Arial"/>
        </w:rPr>
        <w:t>High quality, sustainability-driven development at a range of scales, from 41-hectare brownfield site to 140-hectare greenfield urban extension</w:t>
      </w:r>
    </w:p>
    <w:p w14:paraId="60E45E66" w14:textId="77777777" w:rsidR="009518E9" w:rsidRPr="005D7EEC" w:rsidRDefault="009518E9" w:rsidP="009518E9">
      <w:pPr>
        <w:pStyle w:val="Heading3"/>
        <w:rPr>
          <w:rFonts w:ascii="Arial" w:hAnsi="Arial" w:cs="Arial"/>
        </w:rPr>
      </w:pPr>
      <w:r w:rsidRPr="005D7EEC">
        <w:rPr>
          <w:rFonts w:ascii="Arial" w:hAnsi="Arial" w:cs="Arial"/>
        </w:rPr>
        <w:t>Key lessons</w:t>
      </w:r>
    </w:p>
    <w:p w14:paraId="34065422" w14:textId="77777777" w:rsidR="009518E9" w:rsidRPr="005D7EEC" w:rsidRDefault="009518E9" w:rsidP="009518E9">
      <w:pPr>
        <w:pStyle w:val="ListParagraph"/>
        <w:numPr>
          <w:ilvl w:val="0"/>
          <w:numId w:val="16"/>
        </w:numPr>
        <w:rPr>
          <w:rFonts w:cs="Arial"/>
        </w:rPr>
      </w:pPr>
      <w:r w:rsidRPr="005D7EEC">
        <w:rPr>
          <w:rFonts w:cs="Arial"/>
        </w:rPr>
        <w:t xml:space="preserve">Experience from Freiburg shows the importance of consistency and coherence of policies related to urban development, design and planning. This includes high standards of urban design for social spaces like play streets, green infrastructure aspects like sustainable urban drainage, and measures to manage parking and encourage public transport use. </w:t>
      </w:r>
    </w:p>
    <w:p w14:paraId="71D67776" w14:textId="77777777" w:rsidR="009518E9" w:rsidRPr="005D7EEC" w:rsidRDefault="009518E9" w:rsidP="009518E9">
      <w:pPr>
        <w:pStyle w:val="ListParagraph"/>
        <w:numPr>
          <w:ilvl w:val="0"/>
          <w:numId w:val="16"/>
        </w:numPr>
        <w:rPr>
          <w:rFonts w:cs="Arial"/>
        </w:rPr>
      </w:pPr>
      <w:r w:rsidRPr="005D7EEC">
        <w:rPr>
          <w:rFonts w:cs="Arial"/>
        </w:rPr>
        <w:t>In order to build support for the latest urban extension in Freiburg, the City Council have embarked on a proactive and positive public engagement campaign. This included a one-day festival which mixed fun activities with information stands on planning and construction, guided tours, and politicians and officers on hand to explain and discuss proposals with local people.</w:t>
      </w:r>
    </w:p>
    <w:p w14:paraId="4BB1E546" w14:textId="77777777" w:rsidR="009518E9" w:rsidRPr="005D7EEC" w:rsidRDefault="009518E9" w:rsidP="009518E9">
      <w:pPr>
        <w:pStyle w:val="ListParagraph"/>
        <w:numPr>
          <w:ilvl w:val="0"/>
          <w:numId w:val="16"/>
        </w:numPr>
        <w:rPr>
          <w:rFonts w:cs="Arial"/>
        </w:rPr>
      </w:pPr>
      <w:r w:rsidRPr="005D7EEC">
        <w:rPr>
          <w:rFonts w:cs="Arial"/>
        </w:rPr>
        <w:t xml:space="preserve">Over the more than 30-year period since the beginning of the brownfield development of Vauban in Freiburg, the City Council have maintaining the </w:t>
      </w:r>
      <w:r w:rsidRPr="005D7EEC">
        <w:rPr>
          <w:rFonts w:cs="Arial"/>
        </w:rPr>
        <w:lastRenderedPageBreak/>
        <w:t>consistency of their approach and recognised the need for flexibility and pragmatism as economic circumstances have changed.</w:t>
      </w:r>
    </w:p>
    <w:p w14:paraId="02B58E91" w14:textId="77777777" w:rsidR="009518E9" w:rsidRPr="005D7EEC" w:rsidRDefault="009518E9" w:rsidP="009518E9">
      <w:pPr>
        <w:pStyle w:val="ListParagraph"/>
        <w:numPr>
          <w:ilvl w:val="0"/>
          <w:numId w:val="16"/>
        </w:numPr>
        <w:rPr>
          <w:rFonts w:cs="Arial"/>
        </w:rPr>
      </w:pPr>
      <w:r w:rsidRPr="005D7EEC">
        <w:rPr>
          <w:rFonts w:cs="Arial"/>
        </w:rPr>
        <w:t>Freiburg shows adaptability to demographic changes and an ageing population, with homes designed to be subdivided into smaller properties as residents seek to downsize.</w:t>
      </w:r>
    </w:p>
    <w:p w14:paraId="0A2B05E1" w14:textId="77777777" w:rsidR="009518E9" w:rsidRPr="005D7EEC" w:rsidRDefault="009518E9" w:rsidP="009518E9">
      <w:pPr>
        <w:pStyle w:val="Heading3"/>
        <w:rPr>
          <w:rFonts w:ascii="Arial" w:hAnsi="Arial" w:cs="Arial"/>
        </w:rPr>
      </w:pPr>
      <w:r w:rsidRPr="005D7EEC">
        <w:rPr>
          <w:rFonts w:ascii="Arial" w:hAnsi="Arial" w:cs="Arial"/>
        </w:rPr>
        <w:t>Key recommendations</w:t>
      </w:r>
    </w:p>
    <w:p w14:paraId="2F8D3ADE" w14:textId="77777777" w:rsidR="009518E9" w:rsidRPr="005D7EEC" w:rsidRDefault="009518E9" w:rsidP="009518E9">
      <w:pPr>
        <w:pStyle w:val="ListParagraph"/>
        <w:numPr>
          <w:ilvl w:val="0"/>
          <w:numId w:val="16"/>
        </w:numPr>
        <w:rPr>
          <w:rFonts w:cs="Arial"/>
        </w:rPr>
      </w:pPr>
      <w:r w:rsidRPr="005D7EEC">
        <w:rPr>
          <w:rFonts w:cs="Arial"/>
        </w:rPr>
        <w:t>Use design competitions, with sustainability a key criterion for success, to raise the quality of planned developments.</w:t>
      </w:r>
    </w:p>
    <w:p w14:paraId="581834F9" w14:textId="77777777" w:rsidR="009518E9" w:rsidRPr="005D7EEC" w:rsidRDefault="009518E9" w:rsidP="009518E9">
      <w:pPr>
        <w:pStyle w:val="ListParagraph"/>
        <w:numPr>
          <w:ilvl w:val="0"/>
          <w:numId w:val="16"/>
        </w:numPr>
        <w:rPr>
          <w:rFonts w:cs="Arial"/>
        </w:rPr>
      </w:pPr>
      <w:r w:rsidRPr="005D7EEC">
        <w:rPr>
          <w:rFonts w:cs="Arial"/>
        </w:rPr>
        <w:t>Provide meaningful communication with local people, whether in relation to consultation on new schemes or to explain retrofit activities.</w:t>
      </w:r>
    </w:p>
    <w:p w14:paraId="33B51959" w14:textId="77777777" w:rsidR="009518E9" w:rsidRPr="005D7EEC" w:rsidRDefault="009518E9" w:rsidP="009518E9">
      <w:pPr>
        <w:pStyle w:val="ListParagraph"/>
        <w:numPr>
          <w:ilvl w:val="0"/>
          <w:numId w:val="16"/>
        </w:numPr>
        <w:rPr>
          <w:rFonts w:cs="Arial"/>
        </w:rPr>
      </w:pPr>
      <w:r w:rsidRPr="005D7EEC">
        <w:rPr>
          <w:rFonts w:cs="Arial"/>
        </w:rPr>
        <w:t>Make use of community self-build initiatives to bring multiple benefits, including raising the standard of development and building support for approaches such as reducing car use in neighbourhoods.</w:t>
      </w:r>
    </w:p>
    <w:p w14:paraId="459A483E" w14:textId="6853072A" w:rsidR="009518E9" w:rsidRPr="005D7EEC" w:rsidRDefault="00B8450A" w:rsidP="00CE5506">
      <w:pPr>
        <w:pStyle w:val="Heading2"/>
        <w:rPr>
          <w:rFonts w:cs="Arial"/>
        </w:rPr>
      </w:pPr>
      <w:r w:rsidRPr="005D7EEC">
        <w:rPr>
          <w:rFonts w:cs="Arial"/>
        </w:rPr>
        <w:t xml:space="preserve">3.2 </w:t>
      </w:r>
      <w:r w:rsidR="009518E9" w:rsidRPr="005D7EEC">
        <w:rPr>
          <w:rFonts w:cs="Arial"/>
        </w:rPr>
        <w:t>Overview</w:t>
      </w:r>
    </w:p>
    <w:p w14:paraId="4AD2555B" w14:textId="77777777" w:rsidR="009518E9" w:rsidRPr="005D7EEC" w:rsidRDefault="009518E9" w:rsidP="009518E9">
      <w:pPr>
        <w:rPr>
          <w:rFonts w:cs="Arial"/>
        </w:rPr>
      </w:pPr>
      <w:r w:rsidRPr="005D7EEC">
        <w:rPr>
          <w:rFonts w:cs="Arial"/>
        </w:rPr>
        <w:t xml:space="preserve">Freiburg (full name Freiburg </w:t>
      </w:r>
      <w:proofErr w:type="spellStart"/>
      <w:r w:rsidRPr="005D7EEC">
        <w:rPr>
          <w:rFonts w:cs="Arial"/>
        </w:rPr>
        <w:t>im</w:t>
      </w:r>
      <w:proofErr w:type="spellEnd"/>
      <w:r w:rsidRPr="005D7EEC">
        <w:rPr>
          <w:rFonts w:cs="Arial"/>
        </w:rPr>
        <w:t xml:space="preserve"> Breisgau) is a small city in the state of Baden-Württemberg in the south west of Germany, close to the French and Swiss borders. With a population of around 240,000 Freiburg is only the fourth biggest city in this state, but its name has far wider recognition than other small European cities, particularly amongst planners and those interested in sustainable urban development. Freiburg has a long history of sustainability in its planning policies, developing from opposition to a nuclear power plant in the 1970s, which led to a heightened awareness of environmental issues in the city. The city today has strong policies related to reducing carbon emissions and hence car use, with a strong priority given to other modes of transport. As a result, the proportion of journeys made by car in the city has fallen from 30 percent to 16 percent. This is the context within which the city’s new districts of Vauban, </w:t>
      </w:r>
      <w:proofErr w:type="spellStart"/>
      <w:r w:rsidRPr="005D7EEC">
        <w:rPr>
          <w:rFonts w:cs="Arial"/>
        </w:rPr>
        <w:t>Rieselfeld</w:t>
      </w:r>
      <w:proofErr w:type="spellEnd"/>
      <w:r w:rsidRPr="005D7EEC">
        <w:rPr>
          <w:rFonts w:cs="Arial"/>
        </w:rPr>
        <w:t xml:space="preserve"> and </w:t>
      </w:r>
      <w:proofErr w:type="spellStart"/>
      <w:r w:rsidRPr="005D7EEC">
        <w:rPr>
          <w:rFonts w:cs="Arial"/>
        </w:rPr>
        <w:t>Dietenbach</w:t>
      </w:r>
      <w:proofErr w:type="spellEnd"/>
      <w:r w:rsidRPr="005D7EEC">
        <w:rPr>
          <w:rFonts w:cs="Arial"/>
        </w:rPr>
        <w:t xml:space="preserve"> have been developed since the 1990s</w:t>
      </w:r>
      <w:r w:rsidRPr="005D7EEC">
        <w:rPr>
          <w:rFonts w:cs="Arial"/>
          <w:vertAlign w:val="superscript"/>
        </w:rPr>
        <w:endnoteReference w:id="44"/>
      </w:r>
      <w:r w:rsidRPr="005D7EEC">
        <w:rPr>
          <w:rFonts w:cs="Arial"/>
        </w:rPr>
        <w:t>.</w:t>
      </w:r>
    </w:p>
    <w:p w14:paraId="02214DF1" w14:textId="4C72E7C1" w:rsidR="009518E9" w:rsidRPr="005D7EEC" w:rsidRDefault="00B8450A" w:rsidP="00CE5506">
      <w:pPr>
        <w:pStyle w:val="Heading2"/>
        <w:rPr>
          <w:rFonts w:cs="Arial"/>
        </w:rPr>
      </w:pPr>
      <w:r w:rsidRPr="005D7EEC">
        <w:rPr>
          <w:rFonts w:cs="Arial"/>
        </w:rPr>
        <w:t xml:space="preserve">3.3 </w:t>
      </w:r>
      <w:r w:rsidR="009518E9" w:rsidRPr="005D7EEC">
        <w:rPr>
          <w:rFonts w:cs="Arial"/>
        </w:rPr>
        <w:t>Planning frameworks</w:t>
      </w:r>
    </w:p>
    <w:p w14:paraId="52B7CDC6" w14:textId="77777777" w:rsidR="009518E9" w:rsidRPr="005D7EEC" w:rsidRDefault="009518E9" w:rsidP="009518E9">
      <w:pPr>
        <w:rPr>
          <w:rFonts w:cs="Arial"/>
        </w:rPr>
      </w:pPr>
      <w:r w:rsidRPr="005D7EEC">
        <w:rPr>
          <w:rFonts w:cs="Arial"/>
        </w:rPr>
        <w:lastRenderedPageBreak/>
        <w:t>The German planning system makes use of a zoning-type approach – the Federal Building Code sets out a two-tier system, with a broad plan at the municipal level accompanied by binding land-use plans for specific areas within each municipality that grant building rights. Coverage of these binding land-use plans is not comprehensive, indeed “a perhaps surprisingly large part of the built-up area of German municipalities remains ‘unplanned’”</w:t>
      </w:r>
      <w:r w:rsidRPr="005D7EEC">
        <w:rPr>
          <w:rFonts w:cs="Arial"/>
          <w:vertAlign w:val="superscript"/>
        </w:rPr>
        <w:endnoteReference w:id="45"/>
      </w:r>
      <w:r w:rsidRPr="005D7EEC">
        <w:rPr>
          <w:rFonts w:cs="Arial"/>
        </w:rPr>
        <w:t xml:space="preserve">. </w:t>
      </w:r>
    </w:p>
    <w:p w14:paraId="705DF9C0" w14:textId="77777777" w:rsidR="009518E9" w:rsidRPr="005D7EEC" w:rsidRDefault="009518E9" w:rsidP="009518E9">
      <w:pPr>
        <w:rPr>
          <w:rFonts w:cs="Arial"/>
        </w:rPr>
      </w:pPr>
      <w:r w:rsidRPr="005D7EEC">
        <w:rPr>
          <w:rFonts w:cs="Arial"/>
        </w:rPr>
        <w:t>Development in Germany has in recent years become more development-led, with municipalities preferring to only go to the expense of preparing land-use plans where a developer is in place – or using land-use plans prepared by developers themselves. The new towns and other developments in Freiburg show a mixture of approaches. The lessons which can be learned from these approaches can in most cases be applied to places which do not use a zoning approach to planning based on rules, but a discretionary system based on planning judgements.</w:t>
      </w:r>
    </w:p>
    <w:p w14:paraId="60431CE8" w14:textId="70271A7F" w:rsidR="009518E9" w:rsidRPr="005D7EEC" w:rsidRDefault="00B8450A" w:rsidP="00CE5506">
      <w:pPr>
        <w:pStyle w:val="Heading2"/>
        <w:rPr>
          <w:rFonts w:cs="Arial"/>
        </w:rPr>
      </w:pPr>
      <w:r w:rsidRPr="005D7EEC">
        <w:rPr>
          <w:rFonts w:cs="Arial"/>
        </w:rPr>
        <w:t xml:space="preserve">3.4 </w:t>
      </w:r>
      <w:r w:rsidR="009518E9" w:rsidRPr="005D7EEC">
        <w:rPr>
          <w:rFonts w:cs="Arial"/>
        </w:rPr>
        <w:t>Governance structures</w:t>
      </w:r>
    </w:p>
    <w:p w14:paraId="09B8C853" w14:textId="77777777" w:rsidR="009518E9" w:rsidRPr="005D7EEC" w:rsidRDefault="009518E9" w:rsidP="009518E9">
      <w:pPr>
        <w:rPr>
          <w:rFonts w:cs="Arial"/>
        </w:rPr>
      </w:pPr>
      <w:r w:rsidRPr="005D7EEC">
        <w:rPr>
          <w:rFonts w:cs="Arial"/>
          <w:b/>
          <w:bCs/>
        </w:rPr>
        <w:t>Vauban,</w:t>
      </w:r>
      <w:r w:rsidRPr="005D7EEC">
        <w:rPr>
          <w:rFonts w:cs="Arial"/>
        </w:rPr>
        <w:t xml:space="preserve"> within Freiburg, is an internationally recognised exemplar of sustainable development that is regularly identified as best practice in planning and other literature</w:t>
      </w:r>
      <w:r w:rsidRPr="005D7EEC">
        <w:rPr>
          <w:rFonts w:cs="Arial"/>
          <w:vertAlign w:val="superscript"/>
        </w:rPr>
        <w:endnoteReference w:id="46"/>
      </w:r>
      <w:r w:rsidRPr="005D7EEC">
        <w:rPr>
          <w:rFonts w:cs="Arial"/>
        </w:rPr>
        <w:t xml:space="preserve">. It was described to us as “sort of a bubble”, with a particular demographic matching its green credentials. These points, however, should not blind us to the potential for learning from Vauban, and or seeing how it is influencing the next generation of new communities in Freiburg and beyond. </w:t>
      </w:r>
    </w:p>
    <w:p w14:paraId="10E9DC0A" w14:textId="77777777" w:rsidR="009518E9" w:rsidRPr="005D7EEC" w:rsidRDefault="009518E9" w:rsidP="009518E9">
      <w:pPr>
        <w:rPr>
          <w:rFonts w:cs="Arial"/>
        </w:rPr>
      </w:pPr>
      <w:r w:rsidRPr="005D7EEC">
        <w:rPr>
          <w:rFonts w:cs="Arial"/>
        </w:rPr>
        <w:t xml:space="preserve">Vauban is a medium-sized new district, with a population of around 5,500, and was built on a </w:t>
      </w:r>
      <w:proofErr w:type="spellStart"/>
      <w:r w:rsidRPr="005D7EEC">
        <w:rPr>
          <w:rFonts w:cs="Arial"/>
        </w:rPr>
        <w:t>a</w:t>
      </w:r>
      <w:proofErr w:type="spellEnd"/>
      <w:r w:rsidRPr="005D7EEC">
        <w:rPr>
          <w:rFonts w:cs="Arial"/>
        </w:rPr>
        <w:t xml:space="preserve"> former barracks around two miles from the city centre. The district was planned in a way which is unusual even in its context, with a working group comprised of planners working for the city, elected councillors and the public. This group made proposals which were subsequently ratified by the City Council through the formal planning process.</w:t>
      </w:r>
    </w:p>
    <w:p w14:paraId="76AB34D6" w14:textId="77777777" w:rsidR="009518E9" w:rsidRPr="005D7EEC" w:rsidRDefault="009518E9" w:rsidP="009518E9">
      <w:pPr>
        <w:rPr>
          <w:rFonts w:cs="Arial"/>
        </w:rPr>
      </w:pPr>
      <w:r w:rsidRPr="005D7EEC">
        <w:rPr>
          <w:rFonts w:cs="Arial"/>
        </w:rPr>
        <w:t xml:space="preserve">Strong planning and design principles emerging from this group included the retention of some of the original military housing which demonstrated the potential for re-using buildings in new ways. It also included the incorporation of lines of green </w:t>
      </w:r>
      <w:r w:rsidRPr="005D7EEC">
        <w:rPr>
          <w:rFonts w:cs="Arial"/>
        </w:rPr>
        <w:lastRenderedPageBreak/>
        <w:t xml:space="preserve">space cutting through the development for cooling and ventilation. The place design was built around the proposed extension of the tram (which was installed in 2006) and had a mix of tenures. This includes a significant proportion of </w:t>
      </w:r>
      <w:proofErr w:type="spellStart"/>
      <w:r w:rsidRPr="005D7EEC">
        <w:rPr>
          <w:rFonts w:cs="Arial"/>
          <w:b/>
          <w:bCs/>
          <w:i/>
          <w:iCs/>
        </w:rPr>
        <w:t>Baugruppen</w:t>
      </w:r>
      <w:proofErr w:type="spellEnd"/>
      <w:r w:rsidRPr="005D7EEC">
        <w:rPr>
          <w:rFonts w:cs="Arial"/>
          <w:b/>
          <w:bCs/>
        </w:rPr>
        <w:t>, a distinctive group-build approach</w:t>
      </w:r>
      <w:r w:rsidRPr="005D7EEC">
        <w:rPr>
          <w:rFonts w:cs="Arial"/>
        </w:rPr>
        <w:t xml:space="preserve"> which originated in Germany</w:t>
      </w:r>
      <w:r w:rsidRPr="005D7EEC">
        <w:rPr>
          <w:rFonts w:cs="Arial"/>
          <w:vertAlign w:val="superscript"/>
        </w:rPr>
        <w:endnoteReference w:id="47"/>
      </w:r>
      <w:r w:rsidRPr="005D7EEC">
        <w:rPr>
          <w:rFonts w:cs="Arial"/>
        </w:rPr>
        <w:t>.</w:t>
      </w:r>
    </w:p>
    <w:p w14:paraId="2116E157" w14:textId="77777777" w:rsidR="009518E9" w:rsidRPr="005D7EEC" w:rsidRDefault="009518E9" w:rsidP="009518E9">
      <w:pPr>
        <w:rPr>
          <w:rFonts w:cs="Arial"/>
        </w:rPr>
      </w:pPr>
      <w:proofErr w:type="spellStart"/>
      <w:r w:rsidRPr="005D7EEC">
        <w:rPr>
          <w:rFonts w:cs="Arial"/>
          <w:b/>
          <w:bCs/>
        </w:rPr>
        <w:t>Rieselfeld</w:t>
      </w:r>
      <w:proofErr w:type="spellEnd"/>
      <w:r w:rsidRPr="005D7EEC">
        <w:rPr>
          <w:rFonts w:cs="Arial"/>
          <w:b/>
          <w:bCs/>
        </w:rPr>
        <w:t xml:space="preserve"> </w:t>
      </w:r>
      <w:r w:rsidRPr="005D7EEC">
        <w:rPr>
          <w:rFonts w:cs="Arial"/>
        </w:rPr>
        <w:t xml:space="preserve">is less well known than Vauban but originated at around the same time. It is an urban extension on the outskirts of Freiburg (c. four miles from the city centre), built on part of a former sewage infiltration area (this is the literal translation of </w:t>
      </w:r>
      <w:proofErr w:type="spellStart"/>
      <w:r w:rsidRPr="005D7EEC">
        <w:rPr>
          <w:rFonts w:cs="Arial"/>
        </w:rPr>
        <w:t>Rieselfeld</w:t>
      </w:r>
      <w:proofErr w:type="spellEnd"/>
      <w:r w:rsidRPr="005D7EEC">
        <w:rPr>
          <w:rFonts w:cs="Arial"/>
        </w:rPr>
        <w:t xml:space="preserve">). Of the 320-hectare site of the infiltration area, around 80 hectares was built on for the urban extension. The remainder is being kept as green infrastructure. The </w:t>
      </w:r>
      <w:proofErr w:type="spellStart"/>
      <w:r w:rsidRPr="005D7EEC">
        <w:rPr>
          <w:rFonts w:cs="Arial"/>
        </w:rPr>
        <w:t>Rieselfeld</w:t>
      </w:r>
      <w:proofErr w:type="spellEnd"/>
      <w:r w:rsidRPr="005D7EEC">
        <w:rPr>
          <w:rFonts w:cs="Arial"/>
        </w:rPr>
        <w:t xml:space="preserve"> community has a population today of around 11,000, built over four phases from 1994 to 2010. </w:t>
      </w:r>
    </w:p>
    <w:p w14:paraId="05CF9A28" w14:textId="77777777" w:rsidR="009518E9" w:rsidRPr="005D7EEC" w:rsidRDefault="009518E9" w:rsidP="009518E9">
      <w:pPr>
        <w:rPr>
          <w:rFonts w:cs="Arial"/>
        </w:rPr>
      </w:pPr>
      <w:r w:rsidRPr="005D7EEC">
        <w:rPr>
          <w:rFonts w:cs="Arial"/>
        </w:rPr>
        <w:t xml:space="preserve">The design of </w:t>
      </w:r>
      <w:proofErr w:type="spellStart"/>
      <w:r w:rsidRPr="005D7EEC">
        <w:rPr>
          <w:rFonts w:cs="Arial"/>
        </w:rPr>
        <w:t>Rieselfeld</w:t>
      </w:r>
      <w:proofErr w:type="spellEnd"/>
      <w:r w:rsidRPr="005D7EEC">
        <w:rPr>
          <w:rFonts w:cs="Arial"/>
        </w:rPr>
        <w:t xml:space="preserve"> was the subject of a </w:t>
      </w:r>
      <w:r w:rsidRPr="005D7EEC">
        <w:rPr>
          <w:rFonts w:cs="Arial"/>
          <w:b/>
          <w:bCs/>
        </w:rPr>
        <w:t>design competition</w:t>
      </w:r>
      <w:r w:rsidRPr="005D7EEC">
        <w:rPr>
          <w:rFonts w:cs="Arial"/>
        </w:rPr>
        <w:t xml:space="preserve">, a common feature of urban development in Freiburg. The winning design led to a masterplan and in turn detailed zoning plans for each phase. Each of those detailed plans has a different overall design approach, but some common features. These include a fairly high proportion of </w:t>
      </w:r>
      <w:proofErr w:type="spellStart"/>
      <w:r w:rsidRPr="005D7EEC">
        <w:rPr>
          <w:rFonts w:cs="Arial"/>
        </w:rPr>
        <w:t>Baugruppen</w:t>
      </w:r>
      <w:proofErr w:type="spellEnd"/>
      <w:r w:rsidRPr="005D7EEC">
        <w:rPr>
          <w:rFonts w:cs="Arial"/>
        </w:rPr>
        <w:t xml:space="preserve"> (group build), and a tiered approach to building density with five to seven storeys along the central axis where the tram line is located, and which was installed before the housing was constructed. </w:t>
      </w:r>
      <w:proofErr w:type="spellStart"/>
      <w:r w:rsidRPr="005D7EEC">
        <w:rPr>
          <w:rFonts w:cs="Arial"/>
        </w:rPr>
        <w:t>Rieselfeld</w:t>
      </w:r>
      <w:proofErr w:type="spellEnd"/>
      <w:r w:rsidRPr="005D7EEC">
        <w:rPr>
          <w:rFonts w:cs="Arial"/>
        </w:rPr>
        <w:t xml:space="preserve"> was described to us as being more “normal” than Vauban, with a demographic mix closer to the average in Freiburg. </w:t>
      </w:r>
    </w:p>
    <w:p w14:paraId="085991F4" w14:textId="77777777" w:rsidR="009518E9" w:rsidRPr="005D7EEC" w:rsidRDefault="009518E9" w:rsidP="009518E9">
      <w:pPr>
        <w:rPr>
          <w:rFonts w:cs="Arial"/>
        </w:rPr>
      </w:pPr>
      <w:proofErr w:type="spellStart"/>
      <w:r w:rsidRPr="005D7EEC">
        <w:rPr>
          <w:rFonts w:cs="Arial"/>
          <w:b/>
          <w:bCs/>
        </w:rPr>
        <w:t>Dietenbach</w:t>
      </w:r>
      <w:proofErr w:type="spellEnd"/>
      <w:r w:rsidRPr="005D7EEC">
        <w:rPr>
          <w:rFonts w:cs="Arial"/>
          <w:b/>
          <w:bCs/>
        </w:rPr>
        <w:t xml:space="preserve"> </w:t>
      </w:r>
      <w:r w:rsidRPr="005D7EEC">
        <w:rPr>
          <w:rFonts w:cs="Arial"/>
        </w:rPr>
        <w:t xml:space="preserve">is a new “climate neutral” district, intended to have a population of 15-20,000, which has recently begun construction on greenfield agricultural land next to </w:t>
      </w:r>
      <w:proofErr w:type="spellStart"/>
      <w:r w:rsidRPr="005D7EEC">
        <w:rPr>
          <w:rFonts w:cs="Arial"/>
        </w:rPr>
        <w:t>Rieselfeld</w:t>
      </w:r>
      <w:proofErr w:type="spellEnd"/>
      <w:r w:rsidRPr="005D7EEC">
        <w:rPr>
          <w:rFonts w:cs="Arial"/>
        </w:rPr>
        <w:t>. This land was purchased through a compulsory purchase approach (</w:t>
      </w:r>
      <w:proofErr w:type="spellStart"/>
      <w:r w:rsidRPr="005D7EEC">
        <w:rPr>
          <w:rFonts w:cs="Arial"/>
          <w:i/>
          <w:iCs/>
        </w:rPr>
        <w:t>Städtebauliche</w:t>
      </w:r>
      <w:proofErr w:type="spellEnd"/>
      <w:r w:rsidRPr="005D7EEC">
        <w:rPr>
          <w:rFonts w:cs="Arial"/>
          <w:i/>
          <w:iCs/>
        </w:rPr>
        <w:t xml:space="preserve"> </w:t>
      </w:r>
      <w:proofErr w:type="spellStart"/>
      <w:r w:rsidRPr="005D7EEC">
        <w:rPr>
          <w:rFonts w:cs="Arial"/>
          <w:i/>
          <w:iCs/>
        </w:rPr>
        <w:t>Entwicklungsmaßname</w:t>
      </w:r>
      <w:proofErr w:type="spellEnd"/>
      <w:r w:rsidRPr="005D7EEC">
        <w:rPr>
          <w:rFonts w:cs="Arial"/>
        </w:rPr>
        <w:t>) at a negotiated price of €65 per m</w:t>
      </w:r>
      <w:r w:rsidRPr="005D7EEC">
        <w:rPr>
          <w:rFonts w:cs="Arial"/>
          <w:vertAlign w:val="superscript"/>
        </w:rPr>
        <w:t>2</w:t>
      </w:r>
      <w:r w:rsidRPr="005D7EEC">
        <w:rPr>
          <w:rFonts w:cs="Arial"/>
        </w:rPr>
        <w:t>. This is between the value of agricultural land (€5 to €10 per m</w:t>
      </w:r>
      <w:r w:rsidRPr="005D7EEC">
        <w:rPr>
          <w:rFonts w:cs="Arial"/>
          <w:vertAlign w:val="superscript"/>
        </w:rPr>
        <w:t>2</w:t>
      </w:r>
      <w:r w:rsidRPr="005D7EEC">
        <w:rPr>
          <w:rFonts w:cs="Arial"/>
        </w:rPr>
        <w:t>) and construction land (€500 to €1,000 per m</w:t>
      </w:r>
      <w:r w:rsidRPr="005D7EEC">
        <w:rPr>
          <w:rFonts w:cs="Arial"/>
          <w:vertAlign w:val="superscript"/>
        </w:rPr>
        <w:t>2</w:t>
      </w:r>
      <w:r w:rsidRPr="005D7EEC">
        <w:rPr>
          <w:rFonts w:cs="Arial"/>
        </w:rPr>
        <w:t>) so represents a considerable saving over a commercial land price. The legal basis for this ‘expropriation’ approach whereby government can acquire private land is set out in Sections 165-171 of the German Town and Country Planning Code, which requires that it can only be used in pursuit of the public interest</w:t>
      </w:r>
      <w:r w:rsidRPr="005D7EEC">
        <w:rPr>
          <w:rFonts w:cs="Arial"/>
          <w:vertAlign w:val="superscript"/>
        </w:rPr>
        <w:endnoteReference w:id="48"/>
      </w:r>
      <w:r w:rsidRPr="005D7EEC">
        <w:rPr>
          <w:rFonts w:cs="Arial"/>
        </w:rPr>
        <w:t xml:space="preserve">. </w:t>
      </w:r>
    </w:p>
    <w:p w14:paraId="6F40F190" w14:textId="77777777" w:rsidR="009518E9" w:rsidRPr="005D7EEC" w:rsidRDefault="009518E9" w:rsidP="009518E9">
      <w:pPr>
        <w:rPr>
          <w:rFonts w:cs="Arial"/>
        </w:rPr>
      </w:pPr>
      <w:r w:rsidRPr="005D7EEC">
        <w:rPr>
          <w:rFonts w:cs="Arial"/>
        </w:rPr>
        <w:lastRenderedPageBreak/>
        <w:t xml:space="preserve">The city of Freiburg is taking the lead by installing infrastructure ahead of construction and will then lay out the development and sell plots to individual developers – who will be a mix of private developers, the municipal housing company and </w:t>
      </w:r>
      <w:proofErr w:type="spellStart"/>
      <w:r w:rsidRPr="005D7EEC">
        <w:rPr>
          <w:rFonts w:cs="Arial"/>
        </w:rPr>
        <w:t>Baugruppen</w:t>
      </w:r>
      <w:proofErr w:type="spellEnd"/>
      <w:r w:rsidRPr="005D7EEC">
        <w:rPr>
          <w:rFonts w:cs="Arial"/>
        </w:rPr>
        <w:t xml:space="preserve"> </w:t>
      </w:r>
      <w:proofErr w:type="spellStart"/>
      <w:r w:rsidRPr="005D7EEC">
        <w:rPr>
          <w:rFonts w:cs="Arial"/>
        </w:rPr>
        <w:t>self builders</w:t>
      </w:r>
      <w:proofErr w:type="spellEnd"/>
      <w:r w:rsidRPr="005D7EEC">
        <w:rPr>
          <w:rFonts w:cs="Arial"/>
        </w:rPr>
        <w:t>. The uplift in value between the initial price paid to landowners and the receipts from developed plots is used to fund the costs of infrastructure and green space which has been installed</w:t>
      </w:r>
      <w:r w:rsidRPr="005D7EEC">
        <w:rPr>
          <w:rFonts w:cs="Arial"/>
          <w:vertAlign w:val="superscript"/>
        </w:rPr>
        <w:endnoteReference w:id="49"/>
      </w:r>
      <w:r w:rsidRPr="005D7EEC">
        <w:rPr>
          <w:rFonts w:cs="Arial"/>
        </w:rPr>
        <w:t>.</w:t>
      </w:r>
    </w:p>
    <w:p w14:paraId="32DD7EC6" w14:textId="2E8ADBC9" w:rsidR="009518E9" w:rsidRPr="005D7EEC" w:rsidRDefault="009518E9" w:rsidP="009518E9">
      <w:pPr>
        <w:rPr>
          <w:rFonts w:cs="Arial"/>
        </w:rPr>
      </w:pPr>
      <w:r w:rsidRPr="005D7EEC">
        <w:rPr>
          <w:rFonts w:cs="Arial"/>
        </w:rPr>
        <w:t xml:space="preserve">A </w:t>
      </w:r>
      <w:r w:rsidRPr="005D7EEC">
        <w:rPr>
          <w:rFonts w:cs="Arial"/>
          <w:b/>
          <w:bCs/>
        </w:rPr>
        <w:t>municipal referendum</w:t>
      </w:r>
      <w:r w:rsidRPr="005D7EEC">
        <w:rPr>
          <w:rFonts w:cs="Arial"/>
        </w:rPr>
        <w:t xml:space="preserve"> was held to decide whether to go ahead with the </w:t>
      </w:r>
      <w:proofErr w:type="spellStart"/>
      <w:r w:rsidRPr="005D7EEC">
        <w:rPr>
          <w:rFonts w:cs="Arial"/>
        </w:rPr>
        <w:t>Dietenbach</w:t>
      </w:r>
      <w:proofErr w:type="spellEnd"/>
      <w:r w:rsidRPr="005D7EEC">
        <w:rPr>
          <w:rFonts w:cs="Arial"/>
        </w:rPr>
        <w:t xml:space="preserve"> development. This passed with a 60 percent majority, but in order to build more public support for the scheme, the city is running an extensive public engagement campaign, including Das Fest Für Alle</w:t>
      </w:r>
      <w:r w:rsidRPr="005D7EEC">
        <w:rPr>
          <w:rFonts w:cs="Arial"/>
          <w:vertAlign w:val="superscript"/>
        </w:rPr>
        <w:endnoteReference w:id="50"/>
      </w:r>
      <w:r w:rsidRPr="005D7EEC">
        <w:rPr>
          <w:rFonts w:cs="Arial"/>
        </w:rPr>
        <w:t xml:space="preserve">, a six hour “festival” on the site of a forthcoming music festival. The </w:t>
      </w:r>
      <w:r w:rsidRPr="005D7EEC">
        <w:rPr>
          <w:rFonts w:cs="Arial"/>
          <w:b/>
          <w:bCs/>
        </w:rPr>
        <w:t>consultation festival</w:t>
      </w:r>
      <w:r w:rsidRPr="005D7EEC">
        <w:rPr>
          <w:rFonts w:cs="Arial"/>
        </w:rPr>
        <w:t xml:space="preserve"> included cycle tours around the site and an introduction to a model of the proposals by Deputy Mayor of Freiburg, Martin Haag.</w:t>
      </w:r>
    </w:p>
    <w:p w14:paraId="76554266" w14:textId="77777777" w:rsidR="009518E9" w:rsidRPr="005D7EEC" w:rsidRDefault="009518E9" w:rsidP="009518E9">
      <w:pPr>
        <w:spacing w:after="0"/>
        <w:rPr>
          <w:rFonts w:cs="Arial"/>
          <w:sz w:val="20"/>
          <w:szCs w:val="20"/>
        </w:rPr>
      </w:pPr>
      <w:r w:rsidRPr="005D7EEC">
        <w:rPr>
          <w:rFonts w:cs="Arial"/>
          <w:noProof/>
          <w:sz w:val="20"/>
          <w:szCs w:val="20"/>
        </w:rPr>
        <w:drawing>
          <wp:anchor distT="0" distB="0" distL="114300" distR="114300" simplePos="0" relativeHeight="251658242" behindDoc="0" locked="0" layoutInCell="1" allowOverlap="1" wp14:anchorId="51E42615" wp14:editId="716032BC">
            <wp:simplePos x="0" y="0"/>
            <wp:positionH relativeFrom="column">
              <wp:posOffset>0</wp:posOffset>
            </wp:positionH>
            <wp:positionV relativeFrom="paragraph">
              <wp:posOffset>0</wp:posOffset>
            </wp:positionV>
            <wp:extent cx="4326147" cy="3244850"/>
            <wp:effectExtent l="0" t="0" r="0" b="0"/>
            <wp:wrapSquare wrapText="bothSides"/>
            <wp:docPr id="1448409476" name="Picture 8" descr="Photograph shows a group of people gathered on a hot day inside or in front of a wooden pavilion, standing around a model of a city encased in a transparent box on a pl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09476" name="Picture 8" descr="Photograph shows a group of people gathered on a hot day inside or in front of a wooden pavilion, standing around a model of a city encased in a transparent box on a plinth."/>
                    <pic:cNvPicPr/>
                  </pic:nvPicPr>
                  <pic:blipFill>
                    <a:blip r:embed="rId28" cstate="print">
                      <a:extLst>
                        <a:ext uri="{28A0092B-C50C-407E-A947-70E740481C1C}">
                          <a14:useLocalDpi xmlns:a14="http://schemas.microsoft.com/office/drawing/2010/main"/>
                        </a:ext>
                      </a:extLst>
                    </a:blip>
                    <a:stretch>
                      <a:fillRect/>
                    </a:stretch>
                  </pic:blipFill>
                  <pic:spPr>
                    <a:xfrm>
                      <a:off x="0" y="0"/>
                      <a:ext cx="4326147" cy="3244850"/>
                    </a:xfrm>
                    <a:prstGeom prst="rect">
                      <a:avLst/>
                    </a:prstGeom>
                  </pic:spPr>
                </pic:pic>
              </a:graphicData>
            </a:graphic>
          </wp:anchor>
        </w:drawing>
      </w:r>
    </w:p>
    <w:p w14:paraId="3FE14668" w14:textId="77777777" w:rsidR="009518E9" w:rsidRPr="005D7EEC" w:rsidRDefault="009518E9" w:rsidP="009518E9">
      <w:pPr>
        <w:rPr>
          <w:rFonts w:cs="Arial"/>
        </w:rPr>
      </w:pPr>
    </w:p>
    <w:p w14:paraId="4056C74B" w14:textId="77777777" w:rsidR="009518E9" w:rsidRPr="005D7EEC" w:rsidRDefault="009518E9" w:rsidP="009518E9">
      <w:pPr>
        <w:rPr>
          <w:rFonts w:cs="Arial"/>
          <w:i/>
          <w:iCs/>
        </w:rPr>
      </w:pPr>
    </w:p>
    <w:p w14:paraId="5C2854F9" w14:textId="77777777" w:rsidR="009518E9" w:rsidRPr="005D7EEC" w:rsidRDefault="009518E9" w:rsidP="009518E9">
      <w:pPr>
        <w:rPr>
          <w:rFonts w:cs="Arial"/>
          <w:i/>
          <w:iCs/>
        </w:rPr>
      </w:pPr>
    </w:p>
    <w:p w14:paraId="1250AE4D" w14:textId="77777777" w:rsidR="009518E9" w:rsidRPr="005D7EEC" w:rsidRDefault="009518E9" w:rsidP="009518E9">
      <w:pPr>
        <w:rPr>
          <w:rFonts w:cs="Arial"/>
          <w:i/>
          <w:iCs/>
        </w:rPr>
      </w:pPr>
    </w:p>
    <w:p w14:paraId="3C3B6B48" w14:textId="77777777" w:rsidR="009518E9" w:rsidRPr="005D7EEC" w:rsidRDefault="009518E9" w:rsidP="009518E9">
      <w:pPr>
        <w:rPr>
          <w:rFonts w:cs="Arial"/>
          <w:i/>
          <w:iCs/>
        </w:rPr>
      </w:pPr>
    </w:p>
    <w:p w14:paraId="4E8F828C" w14:textId="77777777" w:rsidR="009518E9" w:rsidRPr="005D7EEC" w:rsidRDefault="009518E9" w:rsidP="009518E9">
      <w:pPr>
        <w:rPr>
          <w:rFonts w:cs="Arial"/>
          <w:i/>
          <w:iCs/>
        </w:rPr>
      </w:pPr>
    </w:p>
    <w:p w14:paraId="2FE56728" w14:textId="77777777" w:rsidR="009518E9" w:rsidRPr="005D7EEC" w:rsidRDefault="009518E9" w:rsidP="009518E9">
      <w:pPr>
        <w:rPr>
          <w:rFonts w:cs="Arial"/>
          <w:i/>
          <w:iCs/>
        </w:rPr>
      </w:pPr>
      <w:r w:rsidRPr="005D7EEC">
        <w:rPr>
          <w:rFonts w:cs="Arial"/>
          <w:i/>
          <w:iCs/>
        </w:rPr>
        <w:t>Figure 2.1: The city’s alderman for urban development &amp; construction introducing the proposals to citizens (with live sign language translation), photograph by John Sturzaker, 2025</w:t>
      </w:r>
    </w:p>
    <w:p w14:paraId="1BD72C20" w14:textId="07DA7387" w:rsidR="009518E9" w:rsidRPr="005D7EEC" w:rsidRDefault="009518E9" w:rsidP="00CE5506">
      <w:pPr>
        <w:rPr>
          <w:rFonts w:cs="Arial"/>
        </w:rPr>
      </w:pPr>
      <w:r w:rsidRPr="005D7EEC">
        <w:rPr>
          <w:rFonts w:cs="Arial"/>
        </w:rPr>
        <w:t xml:space="preserve">There are various other developments in Freiburg which provide further illustration of the consistent approach of the City Council. These include </w:t>
      </w:r>
      <w:r w:rsidRPr="005D7EEC">
        <w:rPr>
          <w:rFonts w:cs="Arial"/>
          <w:b/>
          <w:bCs/>
        </w:rPr>
        <w:t>Weingarten</w:t>
      </w:r>
      <w:r w:rsidRPr="005D7EEC">
        <w:rPr>
          <w:rFonts w:cs="Arial"/>
        </w:rPr>
        <w:t xml:space="preserve">, a </w:t>
      </w:r>
      <w:r w:rsidRPr="005D7EEC">
        <w:rPr>
          <w:rFonts w:cs="Arial"/>
        </w:rPr>
        <w:lastRenderedPageBreak/>
        <w:t xml:space="preserve">redevelopment of four social housing blocks to retrofit to the Passivhaus standard and to adapt to the need for smaller households; and the </w:t>
      </w:r>
      <w:proofErr w:type="spellStart"/>
      <w:r w:rsidRPr="005D7EEC">
        <w:rPr>
          <w:rFonts w:cs="Arial"/>
          <w:b/>
          <w:bCs/>
        </w:rPr>
        <w:t>Güterbahnhof</w:t>
      </w:r>
      <w:proofErr w:type="spellEnd"/>
      <w:r w:rsidRPr="005D7EEC">
        <w:rPr>
          <w:rFonts w:cs="Arial"/>
        </w:rPr>
        <w:t xml:space="preserve"> scheme, on the former goods yard owned by Deutsche Bahn, the state-owned rail company. As Freiburg city council did not own the </w:t>
      </w:r>
      <w:proofErr w:type="spellStart"/>
      <w:r w:rsidRPr="005D7EEC">
        <w:rPr>
          <w:rFonts w:cs="Arial"/>
        </w:rPr>
        <w:t>Güterbahnhof</w:t>
      </w:r>
      <w:proofErr w:type="spellEnd"/>
      <w:r w:rsidRPr="005D7EEC">
        <w:rPr>
          <w:rFonts w:cs="Arial"/>
        </w:rPr>
        <w:t xml:space="preserve"> site, it has had less ability to impose its own preferences as seen in other schemes across the city, with a developer-led approach to development. However, design quality remains high.</w:t>
      </w:r>
    </w:p>
    <w:p w14:paraId="28C493FB" w14:textId="77777777" w:rsidR="009518E9" w:rsidRPr="005D7EEC" w:rsidRDefault="009518E9" w:rsidP="009518E9">
      <w:pPr>
        <w:spacing w:after="0"/>
        <w:rPr>
          <w:rFonts w:cs="Arial"/>
          <w:bCs/>
          <w:sz w:val="20"/>
          <w:szCs w:val="20"/>
        </w:rPr>
      </w:pPr>
      <w:r w:rsidRPr="005D7EEC">
        <w:rPr>
          <w:rFonts w:cs="Arial"/>
          <w:bCs/>
          <w:noProof/>
          <w:sz w:val="20"/>
          <w:szCs w:val="20"/>
        </w:rPr>
        <w:drawing>
          <wp:inline distT="0" distB="0" distL="0" distR="0" wp14:anchorId="69BE1ACF" wp14:editId="3D17735B">
            <wp:extent cx="4858213" cy="3643564"/>
            <wp:effectExtent l="0" t="2223" r="0" b="0"/>
            <wp:docPr id="593345897" name="Picture 12" descr="Six-storey apartment building with four parallel blocks situated above a common ground level structure with ornamental doorways and high-level windows. Green planting adjacent to a very small waterway and cycle parking at entrances separate the building from a pavement an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45897" name="Picture 12" descr="Six-storey apartment building with four parallel blocks situated above a common ground level structure with ornamental doorways and high-level windows. Green planting adjacent to a very small waterway and cycle parking at entrances separate the building from a pavement and street."/>
                    <pic:cNvPicPr/>
                  </pic:nvPicPr>
                  <pic:blipFill>
                    <a:blip r:embed="rId29" cstate="print">
                      <a:extLst>
                        <a:ext uri="{28A0092B-C50C-407E-A947-70E740481C1C}">
                          <a14:useLocalDpi xmlns:a14="http://schemas.microsoft.com/office/drawing/2010/main"/>
                        </a:ext>
                      </a:extLst>
                    </a:blip>
                    <a:stretch>
                      <a:fillRect/>
                    </a:stretch>
                  </pic:blipFill>
                  <pic:spPr>
                    <a:xfrm rot="5400000">
                      <a:off x="0" y="0"/>
                      <a:ext cx="4858213" cy="3643564"/>
                    </a:xfrm>
                    <a:prstGeom prst="rect">
                      <a:avLst/>
                    </a:prstGeom>
                  </pic:spPr>
                </pic:pic>
              </a:graphicData>
            </a:graphic>
          </wp:inline>
        </w:drawing>
      </w:r>
    </w:p>
    <w:p w14:paraId="186DBB2F" w14:textId="77777777" w:rsidR="009518E9" w:rsidRPr="005D7EEC" w:rsidRDefault="009518E9" w:rsidP="009518E9">
      <w:pPr>
        <w:spacing w:after="0"/>
        <w:rPr>
          <w:rFonts w:cs="Arial"/>
          <w:bCs/>
          <w:sz w:val="20"/>
          <w:szCs w:val="20"/>
        </w:rPr>
      </w:pPr>
    </w:p>
    <w:p w14:paraId="45113268" w14:textId="20621016" w:rsidR="00CE5506" w:rsidRPr="005D7EEC" w:rsidRDefault="009518E9" w:rsidP="009518E9">
      <w:pPr>
        <w:rPr>
          <w:rFonts w:cs="Arial"/>
          <w:i/>
        </w:rPr>
      </w:pPr>
      <w:r w:rsidRPr="005D7EEC">
        <w:rPr>
          <w:rFonts w:cs="Arial"/>
          <w:i/>
        </w:rPr>
        <w:t xml:space="preserve">Figure 2.2: Historic rail buildings retained, repurposed and integrated into new buildings in the </w:t>
      </w:r>
      <w:proofErr w:type="spellStart"/>
      <w:r w:rsidRPr="005D7EEC">
        <w:rPr>
          <w:rFonts w:cs="Arial"/>
          <w:i/>
        </w:rPr>
        <w:t>Güterbahnhof</w:t>
      </w:r>
      <w:proofErr w:type="spellEnd"/>
      <w:r w:rsidRPr="005D7EEC">
        <w:rPr>
          <w:rFonts w:cs="Arial"/>
          <w:i/>
        </w:rPr>
        <w:t xml:space="preserve"> scheme, photograph by John Sturzaker, 2025</w:t>
      </w:r>
    </w:p>
    <w:p w14:paraId="6F1B936E" w14:textId="0E4C25AC" w:rsidR="009518E9" w:rsidRPr="005D7EEC" w:rsidRDefault="00AC4F03" w:rsidP="00CE5506">
      <w:pPr>
        <w:pStyle w:val="Heading2"/>
        <w:rPr>
          <w:rFonts w:cs="Arial"/>
        </w:rPr>
      </w:pPr>
      <w:r w:rsidRPr="005D7EEC">
        <w:rPr>
          <w:rFonts w:cs="Arial"/>
        </w:rPr>
        <w:t xml:space="preserve">3.5 </w:t>
      </w:r>
      <w:r w:rsidR="009518E9" w:rsidRPr="005D7EEC">
        <w:rPr>
          <w:rFonts w:cs="Arial"/>
        </w:rPr>
        <w:t xml:space="preserve">Thematic discussion </w:t>
      </w:r>
    </w:p>
    <w:p w14:paraId="0FF3C904" w14:textId="77777777" w:rsidR="009518E9" w:rsidRPr="005D7EEC" w:rsidRDefault="009518E9" w:rsidP="009518E9">
      <w:pPr>
        <w:pStyle w:val="Heading3"/>
        <w:rPr>
          <w:rFonts w:ascii="Arial" w:hAnsi="Arial" w:cs="Arial"/>
        </w:rPr>
      </w:pPr>
      <w:r w:rsidRPr="005D7EEC">
        <w:rPr>
          <w:rFonts w:ascii="Arial" w:hAnsi="Arial" w:cs="Arial"/>
        </w:rPr>
        <w:lastRenderedPageBreak/>
        <w:t>New towns as sites of urban experimentation</w:t>
      </w:r>
    </w:p>
    <w:p w14:paraId="16736138" w14:textId="77777777" w:rsidR="009518E9" w:rsidRPr="005D7EEC" w:rsidRDefault="009518E9" w:rsidP="009518E9">
      <w:pPr>
        <w:rPr>
          <w:rFonts w:cs="Arial"/>
        </w:rPr>
      </w:pPr>
      <w:r w:rsidRPr="005D7EEC">
        <w:rPr>
          <w:rFonts w:cs="Arial"/>
        </w:rPr>
        <w:t>The story of new towns/settlements in Freiburg is one of experimentation within a supportive institutional and cultural context, and of those experiments informing the next generation of new town development.</w:t>
      </w:r>
    </w:p>
    <w:p w14:paraId="63654EC0" w14:textId="77777777" w:rsidR="009518E9" w:rsidRPr="005D7EEC" w:rsidRDefault="009518E9" w:rsidP="009518E9">
      <w:pPr>
        <w:rPr>
          <w:rFonts w:cs="Arial"/>
        </w:rPr>
      </w:pPr>
      <w:r w:rsidRPr="005D7EEC">
        <w:rPr>
          <w:rFonts w:cs="Arial"/>
        </w:rPr>
        <w:t xml:space="preserve">A key example is the approach to car parking management in Vauban with </w:t>
      </w:r>
      <w:r w:rsidRPr="005D7EEC">
        <w:rPr>
          <w:rFonts w:cs="Arial"/>
          <w:b/>
          <w:bCs/>
        </w:rPr>
        <w:t>centralised garages and car free neighbourhoods</w:t>
      </w:r>
      <w:r w:rsidRPr="005D7EEC">
        <w:rPr>
          <w:rFonts w:cs="Arial"/>
        </w:rPr>
        <w:t>. This was highly experimental at the time and the subject of much negotiation with the state government to reduce parking provision below usual standards</w:t>
      </w:r>
      <w:r w:rsidRPr="005D7EEC">
        <w:rPr>
          <w:rFonts w:cs="Arial"/>
          <w:vertAlign w:val="superscript"/>
        </w:rPr>
        <w:endnoteReference w:id="51"/>
      </w:r>
      <w:r w:rsidRPr="005D7EEC">
        <w:rPr>
          <w:rFonts w:cs="Arial"/>
        </w:rPr>
        <w:t xml:space="preserve">. The success of the parking model is partly down to residents continuing to support it. This has given confidence to Freiburg City Council that the model may be replicable. In the new (much larger) settlement of </w:t>
      </w:r>
      <w:proofErr w:type="spellStart"/>
      <w:r w:rsidRPr="005D7EEC">
        <w:rPr>
          <w:rFonts w:cs="Arial"/>
        </w:rPr>
        <w:t>Dietenbach</w:t>
      </w:r>
      <w:proofErr w:type="spellEnd"/>
      <w:r w:rsidRPr="005D7EEC">
        <w:rPr>
          <w:rFonts w:cs="Arial"/>
        </w:rPr>
        <w:t>, a similar approach to managing cars is being planned.</w:t>
      </w:r>
    </w:p>
    <w:p w14:paraId="408AF870" w14:textId="77777777" w:rsidR="009518E9" w:rsidRPr="005D7EEC" w:rsidRDefault="009518E9" w:rsidP="009518E9">
      <w:pPr>
        <w:rPr>
          <w:rFonts w:cs="Arial"/>
        </w:rPr>
      </w:pPr>
      <w:r w:rsidRPr="005D7EEC">
        <w:rPr>
          <w:rFonts w:cs="Arial"/>
        </w:rPr>
        <w:t>Other aspects of innovation are now established as part of the mainstream approach to planning in Freiburg. These include the integration of green infrastructure throughout, and strong segregation between roads and non-car travel modes.</w:t>
      </w:r>
    </w:p>
    <w:p w14:paraId="2E69AE9D" w14:textId="77777777" w:rsidR="009518E9" w:rsidRPr="005D7EEC" w:rsidRDefault="009518E9" w:rsidP="009518E9">
      <w:pPr>
        <w:pStyle w:val="Heading3"/>
        <w:rPr>
          <w:rFonts w:ascii="Arial" w:hAnsi="Arial" w:cs="Arial"/>
        </w:rPr>
      </w:pPr>
      <w:r w:rsidRPr="005D7EEC">
        <w:rPr>
          <w:rFonts w:ascii="Arial" w:hAnsi="Arial" w:cs="Arial"/>
        </w:rPr>
        <w:t>The significance of social and cultural lived experience</w:t>
      </w:r>
    </w:p>
    <w:p w14:paraId="275C9348" w14:textId="77777777" w:rsidR="009518E9" w:rsidRPr="005D7EEC" w:rsidRDefault="009518E9" w:rsidP="009518E9">
      <w:pPr>
        <w:rPr>
          <w:rFonts w:cs="Arial"/>
        </w:rPr>
      </w:pPr>
      <w:r w:rsidRPr="005D7EEC">
        <w:rPr>
          <w:rFonts w:cs="Arial"/>
        </w:rPr>
        <w:t>The approach to car parking management in Vauban involves the reserving of some land at the edge of the district to meet future parking requirements. This land is used as a green space in the interim and remains as such until/unless it is needed. At present, car ownership remains low so there is no immediate prospect of more parking being required. A widespread use of (electric) shared cars is an important contributory factor. These factors illustrate the importance of residents buying into the approach to more sustainable mobility.</w:t>
      </w:r>
    </w:p>
    <w:p w14:paraId="258AE742" w14:textId="77777777" w:rsidR="009518E9" w:rsidRPr="005D7EEC" w:rsidRDefault="009518E9" w:rsidP="009518E9">
      <w:pPr>
        <w:pStyle w:val="Heading3"/>
        <w:rPr>
          <w:rFonts w:ascii="Arial" w:hAnsi="Arial" w:cs="Arial"/>
        </w:rPr>
      </w:pPr>
      <w:r w:rsidRPr="005D7EEC">
        <w:rPr>
          <w:rFonts w:ascii="Arial" w:hAnsi="Arial" w:cs="Arial"/>
        </w:rPr>
        <w:t>New towns as political and ideological projects</w:t>
      </w:r>
    </w:p>
    <w:p w14:paraId="5CD687FF" w14:textId="77777777" w:rsidR="009518E9" w:rsidRPr="005D7EEC" w:rsidRDefault="009518E9" w:rsidP="009518E9">
      <w:pPr>
        <w:rPr>
          <w:rFonts w:cs="Arial"/>
        </w:rPr>
      </w:pPr>
      <w:r w:rsidRPr="005D7EEC">
        <w:rPr>
          <w:rFonts w:cs="Arial"/>
        </w:rPr>
        <w:t xml:space="preserve">Choices made through the planning process in the allocation of building plots to different types of developer have an (implicit or otherwise) ideological component. The system encourages </w:t>
      </w:r>
      <w:proofErr w:type="spellStart"/>
      <w:r w:rsidRPr="005D7EEC">
        <w:rPr>
          <w:rFonts w:cs="Arial"/>
        </w:rPr>
        <w:t>Baugruppen</w:t>
      </w:r>
      <w:proofErr w:type="spellEnd"/>
      <w:r w:rsidRPr="005D7EEC">
        <w:rPr>
          <w:rFonts w:cs="Arial"/>
        </w:rPr>
        <w:t xml:space="preserve">, the community group build model which is common across Freiburg (and to a lesser extent the whole of Germany), as opposed </w:t>
      </w:r>
      <w:r w:rsidRPr="005D7EEC">
        <w:rPr>
          <w:rFonts w:cs="Arial"/>
        </w:rPr>
        <w:lastRenderedPageBreak/>
        <w:t xml:space="preserve">to allowing the dominance of private sector developers. This is a conscious choice that in turn leads to other benefits. </w:t>
      </w:r>
    </w:p>
    <w:p w14:paraId="2D2C243E" w14:textId="77777777" w:rsidR="009518E9" w:rsidRPr="005D7EEC" w:rsidRDefault="009518E9" w:rsidP="009518E9">
      <w:pPr>
        <w:rPr>
          <w:rFonts w:cs="Arial"/>
        </w:rPr>
      </w:pPr>
      <w:r w:rsidRPr="005D7EEC">
        <w:rPr>
          <w:rFonts w:cs="Arial"/>
        </w:rPr>
        <w:t xml:space="preserve">In both Vauban and </w:t>
      </w:r>
      <w:proofErr w:type="spellStart"/>
      <w:r w:rsidRPr="005D7EEC">
        <w:rPr>
          <w:rFonts w:cs="Arial"/>
        </w:rPr>
        <w:t>Rieselfeld</w:t>
      </w:r>
      <w:proofErr w:type="spellEnd"/>
      <w:r w:rsidRPr="005D7EEC">
        <w:rPr>
          <w:rFonts w:cs="Arial"/>
        </w:rPr>
        <w:t xml:space="preserve"> there are notably higher standards of environmental design provision in </w:t>
      </w:r>
      <w:proofErr w:type="spellStart"/>
      <w:r w:rsidRPr="005D7EEC">
        <w:rPr>
          <w:rFonts w:cs="Arial"/>
        </w:rPr>
        <w:t>Baugruppen</w:t>
      </w:r>
      <w:proofErr w:type="spellEnd"/>
      <w:r w:rsidRPr="005D7EEC">
        <w:rPr>
          <w:rFonts w:cs="Arial"/>
        </w:rPr>
        <w:t xml:space="preserve"> plots, with more solar panels and green roofs. This is partly a function of the lower design and built costs. There is no marketing budget needed in this form of development. There are also economies of scale from development which brings together groups of individuals compared to individual schemes which must manage the more complicated preferences of these communities.</w:t>
      </w:r>
    </w:p>
    <w:p w14:paraId="117739DD" w14:textId="77777777" w:rsidR="009518E9" w:rsidRPr="005D7EEC" w:rsidRDefault="009518E9" w:rsidP="009518E9">
      <w:pPr>
        <w:pStyle w:val="Heading3"/>
        <w:rPr>
          <w:rFonts w:ascii="Arial" w:hAnsi="Arial" w:cs="Arial"/>
        </w:rPr>
      </w:pPr>
      <w:r w:rsidRPr="005D7EEC">
        <w:rPr>
          <w:rFonts w:ascii="Arial" w:hAnsi="Arial" w:cs="Arial"/>
        </w:rPr>
        <w:t>Functionality, adaptability, and the future of new towns</w:t>
      </w:r>
    </w:p>
    <w:p w14:paraId="25F396DF" w14:textId="77777777" w:rsidR="009518E9" w:rsidRPr="005D7EEC" w:rsidRDefault="009518E9" w:rsidP="009518E9">
      <w:pPr>
        <w:rPr>
          <w:rFonts w:cs="Arial"/>
        </w:rPr>
      </w:pPr>
      <w:r w:rsidRPr="005D7EEC">
        <w:rPr>
          <w:rFonts w:cs="Arial"/>
        </w:rPr>
        <w:t xml:space="preserve">There are several important aspects to highlight regarding adaptability of the new town-style settlements in Freiburg. One is the adaptability to demographic changes and an ageing population. Homes are designed to be subdivided into smaller properties as residents seek to downsize as they become smaller households. This is facilitated by the medium density housing that is common across the new settlements. Three or four storey buildings with both shared and private green space offer choices for households to change their dwelling size. </w:t>
      </w:r>
    </w:p>
    <w:p w14:paraId="0CEFBCB6" w14:textId="77777777" w:rsidR="009518E9" w:rsidRPr="005D7EEC" w:rsidRDefault="009518E9" w:rsidP="009518E9">
      <w:pPr>
        <w:rPr>
          <w:rFonts w:cs="Arial"/>
        </w:rPr>
      </w:pPr>
      <w:r w:rsidRPr="005D7EEC">
        <w:rPr>
          <w:rFonts w:cs="Arial"/>
        </w:rPr>
        <w:t xml:space="preserve">Adaptability to climate change is also strong, with green infrastructure and sustainable urban drainage being standard features. These green infrastructure and drainage systems are being retrofitted into some open spaces and along public transport routes in the older parts of Freiburg. </w:t>
      </w:r>
      <w:proofErr w:type="spellStart"/>
      <w:r w:rsidRPr="005D7EEC">
        <w:rPr>
          <w:rFonts w:cs="Arial"/>
        </w:rPr>
        <w:t>Rieselfeld</w:t>
      </w:r>
      <w:proofErr w:type="spellEnd"/>
      <w:r w:rsidRPr="005D7EEC">
        <w:rPr>
          <w:rFonts w:cs="Arial"/>
        </w:rPr>
        <w:t xml:space="preserve"> illustrates the need to adapt to a changing financial context, as the proportion of affordable housing delivered was lower than planned for, due to changes in central funding.</w:t>
      </w:r>
    </w:p>
    <w:p w14:paraId="64274178" w14:textId="77777777" w:rsidR="009518E9" w:rsidRPr="005D7EEC" w:rsidRDefault="009518E9" w:rsidP="009518E9">
      <w:pPr>
        <w:rPr>
          <w:rFonts w:cs="Arial"/>
        </w:rPr>
      </w:pPr>
      <w:r w:rsidRPr="005D7EEC">
        <w:rPr>
          <w:rFonts w:cs="Arial"/>
        </w:rPr>
        <w:t xml:space="preserve">Whilst Vauban has unique case study features, some of the planning and design principles which underpin it including on energy efficiency, green infrastructure, sustainable urban drainage, walkability, and car use and storage, have influenced other developments in Freiburg and beyond. </w:t>
      </w:r>
      <w:proofErr w:type="spellStart"/>
      <w:r w:rsidRPr="005D7EEC">
        <w:rPr>
          <w:rFonts w:cs="Arial"/>
        </w:rPr>
        <w:t>Dietenbach</w:t>
      </w:r>
      <w:proofErr w:type="spellEnd"/>
      <w:r w:rsidRPr="005D7EEC">
        <w:rPr>
          <w:rFonts w:cs="Arial"/>
        </w:rPr>
        <w:t xml:space="preserve">, which is just beginning construction, has taken inspiration from the approach to car parking management, </w:t>
      </w:r>
      <w:r w:rsidRPr="005D7EEC">
        <w:rPr>
          <w:rFonts w:cs="Arial"/>
        </w:rPr>
        <w:lastRenderedPageBreak/>
        <w:t xml:space="preserve">the use of </w:t>
      </w:r>
      <w:proofErr w:type="spellStart"/>
      <w:r w:rsidRPr="005D7EEC">
        <w:rPr>
          <w:rFonts w:cs="Arial"/>
          <w:i/>
          <w:iCs/>
        </w:rPr>
        <w:t>Verkehrsberuhigter</w:t>
      </w:r>
      <w:proofErr w:type="spellEnd"/>
      <w:r w:rsidRPr="005D7EEC">
        <w:rPr>
          <w:rFonts w:cs="Arial"/>
          <w:i/>
          <w:iCs/>
        </w:rPr>
        <w:t xml:space="preserve"> </w:t>
      </w:r>
      <w:proofErr w:type="spellStart"/>
      <w:r w:rsidRPr="005D7EEC">
        <w:rPr>
          <w:rFonts w:cs="Arial"/>
          <w:i/>
          <w:iCs/>
        </w:rPr>
        <w:t>Bereich</w:t>
      </w:r>
      <w:proofErr w:type="spellEnd"/>
      <w:r w:rsidRPr="005D7EEC">
        <w:rPr>
          <w:rFonts w:cs="Arial"/>
        </w:rPr>
        <w:t xml:space="preserve"> (play streets) and the integration of green infrastructure to help with urban cooling.</w:t>
      </w:r>
    </w:p>
    <w:p w14:paraId="51079101" w14:textId="77777777" w:rsidR="009518E9" w:rsidRPr="005D7EEC" w:rsidRDefault="009518E9" w:rsidP="009518E9">
      <w:pPr>
        <w:rPr>
          <w:rFonts w:cs="Arial"/>
        </w:rPr>
      </w:pPr>
      <w:r w:rsidRPr="005D7EEC">
        <w:rPr>
          <w:rFonts w:cs="Arial"/>
        </w:rPr>
        <w:t>These factors all point to the adaptability of communities and the long-term success of the approaches to new town planning and development in Freiburg.</w:t>
      </w:r>
    </w:p>
    <w:p w14:paraId="40331C6B" w14:textId="77777777" w:rsidR="009518E9" w:rsidRPr="005D7EEC" w:rsidRDefault="009518E9" w:rsidP="009518E9">
      <w:pPr>
        <w:spacing w:after="0"/>
        <w:rPr>
          <w:rFonts w:cs="Arial"/>
          <w:sz w:val="20"/>
          <w:szCs w:val="20"/>
        </w:rPr>
      </w:pPr>
      <w:r w:rsidRPr="005D7EEC">
        <w:rPr>
          <w:rFonts w:cs="Arial"/>
          <w:noProof/>
          <w:sz w:val="20"/>
          <w:szCs w:val="20"/>
        </w:rPr>
        <w:drawing>
          <wp:anchor distT="0" distB="0" distL="114300" distR="114300" simplePos="0" relativeHeight="251658243" behindDoc="0" locked="0" layoutInCell="1" allowOverlap="1" wp14:anchorId="47B14313" wp14:editId="41519223">
            <wp:simplePos x="0" y="0"/>
            <wp:positionH relativeFrom="column">
              <wp:posOffset>0</wp:posOffset>
            </wp:positionH>
            <wp:positionV relativeFrom="paragraph">
              <wp:posOffset>1270</wp:posOffset>
            </wp:positionV>
            <wp:extent cx="4080632" cy="3060700"/>
            <wp:effectExtent l="0" t="0" r="0" b="6350"/>
            <wp:wrapSquare wrapText="bothSides"/>
            <wp:docPr id="716542711" name="Picture 5" descr="An empty, straight, narrow, well-surfaced road with a parked car in the distance surrounded by ample foliage and trees, and with varied terraced residential buildings on either side, partly obscur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42711" name="Picture 5" descr="An empty, straight, narrow, well-surfaced road with a parked car in the distance surrounded by ample foliage and trees, and with varied terraced residential buildings on either side, partly obscured by trees."/>
                    <pic:cNvPicPr/>
                  </pic:nvPicPr>
                  <pic:blipFill>
                    <a:blip r:embed="rId30" cstate="screen">
                      <a:extLst>
                        <a:ext uri="{28A0092B-C50C-407E-A947-70E740481C1C}">
                          <a14:useLocalDpi xmlns:a14="http://schemas.microsoft.com/office/drawing/2010/main"/>
                        </a:ext>
                      </a:extLst>
                    </a:blip>
                    <a:stretch>
                      <a:fillRect/>
                    </a:stretch>
                  </pic:blipFill>
                  <pic:spPr>
                    <a:xfrm>
                      <a:off x="0" y="0"/>
                      <a:ext cx="4080632" cy="3060700"/>
                    </a:xfrm>
                    <a:prstGeom prst="rect">
                      <a:avLst/>
                    </a:prstGeom>
                  </pic:spPr>
                </pic:pic>
              </a:graphicData>
            </a:graphic>
          </wp:anchor>
        </w:drawing>
      </w:r>
    </w:p>
    <w:p w14:paraId="03D60280" w14:textId="77777777" w:rsidR="009518E9" w:rsidRPr="005D7EEC" w:rsidRDefault="009518E9" w:rsidP="009518E9">
      <w:pPr>
        <w:spacing w:after="0"/>
        <w:rPr>
          <w:rFonts w:cs="Arial"/>
          <w:sz w:val="20"/>
          <w:szCs w:val="20"/>
        </w:rPr>
      </w:pPr>
    </w:p>
    <w:p w14:paraId="442AA2DF" w14:textId="77777777" w:rsidR="009518E9" w:rsidRPr="005D7EEC" w:rsidRDefault="009518E9" w:rsidP="009518E9">
      <w:pPr>
        <w:rPr>
          <w:rFonts w:cs="Arial"/>
          <w:i/>
        </w:rPr>
      </w:pPr>
    </w:p>
    <w:p w14:paraId="32B70B98" w14:textId="77777777" w:rsidR="009518E9" w:rsidRPr="005D7EEC" w:rsidRDefault="009518E9" w:rsidP="009518E9">
      <w:pPr>
        <w:rPr>
          <w:rFonts w:cs="Arial"/>
          <w:i/>
        </w:rPr>
      </w:pPr>
    </w:p>
    <w:p w14:paraId="3344A41B" w14:textId="77777777" w:rsidR="009518E9" w:rsidRPr="005D7EEC" w:rsidRDefault="009518E9" w:rsidP="009518E9">
      <w:pPr>
        <w:rPr>
          <w:rFonts w:cs="Arial"/>
          <w:i/>
        </w:rPr>
      </w:pPr>
    </w:p>
    <w:p w14:paraId="6B586A23" w14:textId="77777777" w:rsidR="009518E9" w:rsidRPr="005D7EEC" w:rsidRDefault="009518E9" w:rsidP="009518E9">
      <w:pPr>
        <w:rPr>
          <w:rFonts w:cs="Arial"/>
          <w:i/>
        </w:rPr>
      </w:pPr>
    </w:p>
    <w:p w14:paraId="39ECA1BF" w14:textId="77777777" w:rsidR="009518E9" w:rsidRPr="005D7EEC" w:rsidRDefault="009518E9" w:rsidP="009518E9">
      <w:pPr>
        <w:rPr>
          <w:rFonts w:cs="Arial"/>
          <w:i/>
        </w:rPr>
      </w:pPr>
    </w:p>
    <w:p w14:paraId="5683DE62" w14:textId="77777777" w:rsidR="00CE5506" w:rsidRPr="005D7EEC" w:rsidRDefault="00CE5506" w:rsidP="009518E9">
      <w:pPr>
        <w:rPr>
          <w:rFonts w:cs="Arial"/>
          <w:i/>
        </w:rPr>
      </w:pPr>
    </w:p>
    <w:p w14:paraId="63BC3BBC" w14:textId="4A3E63B4" w:rsidR="009518E9" w:rsidRPr="005D7EEC" w:rsidRDefault="009518E9" w:rsidP="009518E9">
      <w:pPr>
        <w:rPr>
          <w:rFonts w:cs="Arial"/>
          <w:i/>
        </w:rPr>
      </w:pPr>
      <w:r w:rsidRPr="005D7EEC">
        <w:rPr>
          <w:rFonts w:cs="Arial"/>
          <w:i/>
        </w:rPr>
        <w:t>Figure 2.3: Green infrastructure is woven throughout Vauban, photograph by John Sturzaker, 2025</w:t>
      </w:r>
    </w:p>
    <w:p w14:paraId="6024789C" w14:textId="47580152" w:rsidR="009518E9" w:rsidRPr="005D7EEC" w:rsidRDefault="00A47E30" w:rsidP="00CE5506">
      <w:pPr>
        <w:pStyle w:val="Heading2"/>
        <w:rPr>
          <w:rFonts w:cs="Arial"/>
        </w:rPr>
      </w:pPr>
      <w:r w:rsidRPr="005D7EEC">
        <w:rPr>
          <w:rFonts w:cs="Arial"/>
        </w:rPr>
        <w:t xml:space="preserve">3.6 </w:t>
      </w:r>
      <w:r w:rsidR="009518E9" w:rsidRPr="005D7EEC">
        <w:rPr>
          <w:rFonts w:cs="Arial"/>
        </w:rPr>
        <w:t>Adaptability and flexibility: Levers and barriers</w:t>
      </w:r>
    </w:p>
    <w:p w14:paraId="7233F25A" w14:textId="77777777" w:rsidR="009518E9" w:rsidRPr="005D7EEC" w:rsidRDefault="009518E9" w:rsidP="009518E9">
      <w:pPr>
        <w:rPr>
          <w:rFonts w:cs="Arial"/>
        </w:rPr>
      </w:pPr>
      <w:r w:rsidRPr="005D7EEC">
        <w:rPr>
          <w:rFonts w:cs="Arial"/>
          <w:b/>
          <w:bCs/>
        </w:rPr>
        <w:t>Vauban</w:t>
      </w:r>
      <w:r w:rsidRPr="005D7EEC">
        <w:rPr>
          <w:rFonts w:cs="Arial"/>
        </w:rPr>
        <w:t xml:space="preserve"> is internationally recognised as an example of best practice in relation to sustainable urban development</w:t>
      </w:r>
      <w:r w:rsidRPr="005D7EEC">
        <w:rPr>
          <w:rStyle w:val="EndnoteReference"/>
          <w:rFonts w:cs="Arial"/>
        </w:rPr>
        <w:endnoteReference w:id="52"/>
      </w:r>
      <w:r w:rsidRPr="005D7EEC">
        <w:rPr>
          <w:rFonts w:cs="Arial"/>
        </w:rPr>
        <w:t xml:space="preserve">. Factors leading to this recognition include strong community involvement in planning and design, integration of green infrastructure at various scales, strong public transport connectivity, a high proportion of community self-build (in the form of </w:t>
      </w:r>
      <w:proofErr w:type="spellStart"/>
      <w:r w:rsidRPr="005D7EEC">
        <w:rPr>
          <w:rFonts w:cs="Arial"/>
          <w:i/>
          <w:iCs/>
        </w:rPr>
        <w:t>Baugruppen</w:t>
      </w:r>
      <w:proofErr w:type="spellEnd"/>
      <w:r w:rsidRPr="005D7EEC">
        <w:rPr>
          <w:rFonts w:cs="Arial"/>
        </w:rPr>
        <w:t xml:space="preserve">) and a grouped approach to car parking space management. </w:t>
      </w:r>
    </w:p>
    <w:p w14:paraId="4DE5664C" w14:textId="77777777" w:rsidR="009518E9" w:rsidRPr="005D7EEC" w:rsidRDefault="009518E9" w:rsidP="009518E9">
      <w:pPr>
        <w:rPr>
          <w:rFonts w:cs="Arial"/>
        </w:rPr>
      </w:pPr>
      <w:r w:rsidRPr="005D7EEC">
        <w:rPr>
          <w:rFonts w:cs="Arial"/>
        </w:rPr>
        <w:t xml:space="preserve">There is very little parking adjacent to housing, with most provision being in the form of district garages. Car owners in the </w:t>
      </w:r>
      <w:r w:rsidRPr="005D7EEC">
        <w:rPr>
          <w:rFonts w:cs="Arial"/>
          <w:b/>
          <w:bCs/>
        </w:rPr>
        <w:t>parking space-free area</w:t>
      </w:r>
      <w:r w:rsidRPr="005D7EEC">
        <w:rPr>
          <w:rFonts w:cs="Arial"/>
        </w:rPr>
        <w:t xml:space="preserve"> which is connected </w:t>
      </w:r>
      <w:r w:rsidRPr="005D7EEC">
        <w:rPr>
          <w:rFonts w:cs="Arial"/>
        </w:rPr>
        <w:lastRenderedPageBreak/>
        <w:t>to the district garages have to buy a parking space in one of the garages if they want access to parking. There is a very low car ownership of 20 per 100 residents, compared to 57 per 100 residents in Germany as a whole. While access by vehicle is possible for one-off visits, collections and drop-offs, most people use other ways to move around.</w:t>
      </w:r>
    </w:p>
    <w:p w14:paraId="2D53B635" w14:textId="77777777" w:rsidR="009518E9" w:rsidRPr="005D7EEC" w:rsidRDefault="009518E9" w:rsidP="009518E9">
      <w:pPr>
        <w:spacing w:after="0"/>
        <w:rPr>
          <w:rFonts w:cs="Arial"/>
          <w:sz w:val="20"/>
          <w:szCs w:val="20"/>
        </w:rPr>
      </w:pPr>
      <w:r w:rsidRPr="005D7EEC">
        <w:rPr>
          <w:rFonts w:cs="Arial"/>
          <w:noProof/>
          <w:sz w:val="20"/>
          <w:szCs w:val="20"/>
        </w:rPr>
        <w:drawing>
          <wp:inline distT="0" distB="0" distL="0" distR="0" wp14:anchorId="68B71DA9" wp14:editId="53F9CD03">
            <wp:extent cx="4300747" cy="3225800"/>
            <wp:effectExtent l="0" t="0" r="5080" b="0"/>
            <wp:docPr id="1031080822" name="Picture 2" descr="Modern terraced houses of various colours of three and four storeys situated at the corner of a road. The road has attractive setts on either side and informal planting. Also visible are two vehicles, dedicated covered cycle parking and a lamp-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80822" name="Picture 2" descr="Modern terraced houses of various colours of three and four storeys situated at the corner of a road. The road has attractive setts on either side and informal planting. Also visible are two vehicles, dedicated covered cycle parking and a lamp-post."/>
                    <pic:cNvPicPr/>
                  </pic:nvPicPr>
                  <pic:blipFill>
                    <a:blip r:embed="rId31" cstate="print">
                      <a:extLst>
                        <a:ext uri="{28A0092B-C50C-407E-A947-70E740481C1C}">
                          <a14:useLocalDpi xmlns:a14="http://schemas.microsoft.com/office/drawing/2010/main"/>
                        </a:ext>
                      </a:extLst>
                    </a:blip>
                    <a:stretch>
                      <a:fillRect/>
                    </a:stretch>
                  </pic:blipFill>
                  <pic:spPr>
                    <a:xfrm>
                      <a:off x="0" y="0"/>
                      <a:ext cx="4342423" cy="3257059"/>
                    </a:xfrm>
                    <a:prstGeom prst="rect">
                      <a:avLst/>
                    </a:prstGeom>
                  </pic:spPr>
                </pic:pic>
              </a:graphicData>
            </a:graphic>
          </wp:inline>
        </w:drawing>
      </w:r>
    </w:p>
    <w:p w14:paraId="7F81D682" w14:textId="77777777" w:rsidR="009518E9" w:rsidRPr="005D7EEC" w:rsidRDefault="009518E9" w:rsidP="009518E9">
      <w:pPr>
        <w:rPr>
          <w:rFonts w:cs="Arial"/>
          <w:i/>
        </w:rPr>
      </w:pPr>
      <w:r w:rsidRPr="005D7EEC">
        <w:rPr>
          <w:rFonts w:cs="Arial"/>
          <w:i/>
        </w:rPr>
        <w:t>Figure 2.4: Vehicular access for loading/unloading, photograph by John Sturzaker, 2025</w:t>
      </w:r>
    </w:p>
    <w:p w14:paraId="5EB19686" w14:textId="77777777" w:rsidR="009518E9" w:rsidRPr="005D7EEC" w:rsidRDefault="009518E9" w:rsidP="009518E9">
      <w:pPr>
        <w:rPr>
          <w:rFonts w:cs="Arial"/>
        </w:rPr>
      </w:pPr>
      <w:r w:rsidRPr="005D7EEC">
        <w:rPr>
          <w:rFonts w:cs="Arial"/>
        </w:rPr>
        <w:t>In Vauban this has become part of a self-reinforcing approach with the district being particularly popular with those who share preferences for low car ownership and other sustainable neighbourhood elements</w:t>
      </w:r>
      <w:r w:rsidRPr="005D7EEC">
        <w:rPr>
          <w:rFonts w:cs="Arial"/>
          <w:vertAlign w:val="superscript"/>
        </w:rPr>
        <w:endnoteReference w:id="53"/>
      </w:r>
      <w:r w:rsidRPr="005D7EEC">
        <w:rPr>
          <w:rFonts w:cs="Arial"/>
        </w:rPr>
        <w:t>. In relation to adaptability to changing demographics, some of the buildings in Vauban were designed to make it easy to subdivide homes, facilitating downsizing and other flexible uses over the longer term.</w:t>
      </w:r>
    </w:p>
    <w:p w14:paraId="5DE8738F" w14:textId="77777777" w:rsidR="009518E9" w:rsidRPr="005D7EEC" w:rsidRDefault="009518E9" w:rsidP="009518E9">
      <w:pPr>
        <w:rPr>
          <w:rFonts w:cs="Arial"/>
        </w:rPr>
      </w:pPr>
      <w:proofErr w:type="spellStart"/>
      <w:r w:rsidRPr="005D7EEC">
        <w:rPr>
          <w:rFonts w:cs="Arial"/>
        </w:rPr>
        <w:t>Rieselfeld</w:t>
      </w:r>
      <w:proofErr w:type="spellEnd"/>
      <w:r w:rsidRPr="005D7EEC">
        <w:rPr>
          <w:rFonts w:cs="Arial"/>
        </w:rPr>
        <w:t xml:space="preserve"> was built at around the same time as Vauban, but is notably different in scale and approach. In some respects, given Vauban’s unique character, </w:t>
      </w:r>
      <w:proofErr w:type="spellStart"/>
      <w:r w:rsidRPr="005D7EEC">
        <w:rPr>
          <w:rFonts w:cs="Arial"/>
        </w:rPr>
        <w:t>Rieselfeld</w:t>
      </w:r>
      <w:proofErr w:type="spellEnd"/>
      <w:r w:rsidRPr="005D7EEC">
        <w:rPr>
          <w:rFonts w:cs="Arial"/>
        </w:rPr>
        <w:t xml:space="preserve"> provides a wider range of experiences which planners can learn from.</w:t>
      </w:r>
    </w:p>
    <w:p w14:paraId="39A62FD5" w14:textId="77777777" w:rsidR="009518E9" w:rsidRPr="005D7EEC" w:rsidRDefault="009518E9" w:rsidP="009518E9">
      <w:pPr>
        <w:rPr>
          <w:rFonts w:cs="Arial"/>
        </w:rPr>
      </w:pPr>
      <w:r w:rsidRPr="005D7EEC">
        <w:rPr>
          <w:rFonts w:cs="Arial"/>
        </w:rPr>
        <w:t xml:space="preserve">One example of successful design is the variable approach to building density, whilst maintaining strong public transport connectivity. There are higher density mixed-use </w:t>
      </w:r>
      <w:r w:rsidRPr="005D7EEC">
        <w:rPr>
          <w:rFonts w:cs="Arial"/>
        </w:rPr>
        <w:lastRenderedPageBreak/>
        <w:t xml:space="preserve">developments closer to the tram line in </w:t>
      </w:r>
      <w:proofErr w:type="spellStart"/>
      <w:r w:rsidRPr="005D7EEC">
        <w:rPr>
          <w:rFonts w:cs="Arial"/>
        </w:rPr>
        <w:t>Rieselfeld</w:t>
      </w:r>
      <w:proofErr w:type="spellEnd"/>
      <w:r w:rsidRPr="005D7EEC">
        <w:rPr>
          <w:rFonts w:cs="Arial"/>
        </w:rPr>
        <w:t xml:space="preserve"> as compared to semi-detached homes further out. This makes most effective use of the proximity to transport by housing more people closer to services. At the same time, all homes are within easy walking distance of one of the three tram stops. Residents are also served well by community infrastructure in the form of local parks, schools, a library and multi-faith community spaces.</w:t>
      </w:r>
    </w:p>
    <w:p w14:paraId="3785D406" w14:textId="77777777" w:rsidR="009518E9" w:rsidRPr="005D7EEC" w:rsidRDefault="009518E9" w:rsidP="009518E9">
      <w:pPr>
        <w:rPr>
          <w:rFonts w:cs="Arial"/>
        </w:rPr>
      </w:pPr>
      <w:proofErr w:type="spellStart"/>
      <w:r w:rsidRPr="005D7EEC">
        <w:rPr>
          <w:rFonts w:cs="Arial"/>
        </w:rPr>
        <w:t>Rieselfeld</w:t>
      </w:r>
      <w:proofErr w:type="spellEnd"/>
      <w:r w:rsidRPr="005D7EEC">
        <w:rPr>
          <w:rFonts w:cs="Arial"/>
        </w:rPr>
        <w:t xml:space="preserve"> also provides an example of the city council being forced to adapt to a changing context. The original proposal for the whole district was for 50 percent of the homes to be social housing, but due to cuts in state spending this fell to c. 20 percent, mostly concentrated into the first and second phases. Each phase has therefore adapted to changing financial circumstances. Planners are also dealing with the increasing challenges from climate change. Green infrastructure and other climate adaptations are being retrofitted in.</w:t>
      </w:r>
    </w:p>
    <w:p w14:paraId="2423B543" w14:textId="77777777" w:rsidR="009518E9" w:rsidRPr="005D7EEC" w:rsidRDefault="009518E9" w:rsidP="009518E9">
      <w:pPr>
        <w:rPr>
          <w:rFonts w:cs="Arial"/>
        </w:rPr>
      </w:pPr>
      <w:r w:rsidRPr="005D7EEC">
        <w:rPr>
          <w:rFonts w:cs="Arial"/>
        </w:rPr>
        <w:t xml:space="preserve">Freiburg City Council had particularly strong control over </w:t>
      </w:r>
      <w:proofErr w:type="spellStart"/>
      <w:r w:rsidRPr="005D7EEC">
        <w:rPr>
          <w:rFonts w:cs="Arial"/>
        </w:rPr>
        <w:t>Rieselfeld</w:t>
      </w:r>
      <w:proofErr w:type="spellEnd"/>
      <w:r w:rsidRPr="005D7EEC">
        <w:rPr>
          <w:rFonts w:cs="Arial"/>
        </w:rPr>
        <w:t xml:space="preserve"> as the land it was built on was owned by the city, in contrast to the </w:t>
      </w:r>
      <w:proofErr w:type="spellStart"/>
      <w:r w:rsidRPr="005D7EEC">
        <w:rPr>
          <w:rFonts w:cs="Arial"/>
        </w:rPr>
        <w:t>Güterbahnhof</w:t>
      </w:r>
      <w:proofErr w:type="spellEnd"/>
      <w:r w:rsidRPr="005D7EEC">
        <w:rPr>
          <w:rFonts w:cs="Arial"/>
        </w:rPr>
        <w:t xml:space="preserve"> former rail freight depot. While one of our interviewees felt the developer-led approach at </w:t>
      </w:r>
      <w:proofErr w:type="spellStart"/>
      <w:r w:rsidRPr="005D7EEC">
        <w:rPr>
          <w:rFonts w:cs="Arial"/>
        </w:rPr>
        <w:t>Güterbahnhof</w:t>
      </w:r>
      <w:proofErr w:type="spellEnd"/>
      <w:r w:rsidRPr="005D7EEC">
        <w:rPr>
          <w:rFonts w:cs="Arial"/>
        </w:rPr>
        <w:t xml:space="preserve"> had produced more of a car-dominated </w:t>
      </w:r>
      <w:proofErr w:type="spellStart"/>
      <w:r w:rsidRPr="005D7EEC">
        <w:rPr>
          <w:rFonts w:cs="Arial"/>
        </w:rPr>
        <w:t>streetscene</w:t>
      </w:r>
      <w:proofErr w:type="spellEnd"/>
      <w:r w:rsidRPr="005D7EEC">
        <w:rPr>
          <w:rFonts w:cs="Arial"/>
        </w:rPr>
        <w:t xml:space="preserve">, the high quality of urban design visible throughout the city was also evident. Some historic buildings were retained, repurposed or integrated into new buildings in </w:t>
      </w:r>
      <w:proofErr w:type="spellStart"/>
      <w:r w:rsidRPr="005D7EEC">
        <w:rPr>
          <w:rFonts w:cs="Arial"/>
        </w:rPr>
        <w:t>Güterbahnhof</w:t>
      </w:r>
      <w:proofErr w:type="spellEnd"/>
      <w:r w:rsidRPr="005D7EEC">
        <w:rPr>
          <w:rFonts w:cs="Arial"/>
        </w:rPr>
        <w:t xml:space="preserve">, illustrating the success of a </w:t>
      </w:r>
      <w:r w:rsidRPr="005D7EEC">
        <w:rPr>
          <w:rFonts w:cs="Arial"/>
          <w:b/>
          <w:bCs/>
        </w:rPr>
        <w:t xml:space="preserve">consistent approach to urban design </w:t>
      </w:r>
      <w:r w:rsidRPr="005D7EEC">
        <w:rPr>
          <w:rFonts w:cs="Arial"/>
        </w:rPr>
        <w:t>over a long period.</w:t>
      </w:r>
    </w:p>
    <w:p w14:paraId="08ED7EF8" w14:textId="04A809A5" w:rsidR="009518E9" w:rsidRPr="005D7EEC" w:rsidRDefault="00A47E30" w:rsidP="00CE5506">
      <w:pPr>
        <w:pStyle w:val="Heading2"/>
        <w:rPr>
          <w:rFonts w:cs="Arial"/>
        </w:rPr>
      </w:pPr>
      <w:r w:rsidRPr="005D7EEC">
        <w:rPr>
          <w:rFonts w:cs="Arial"/>
        </w:rPr>
        <w:t xml:space="preserve">3.7 </w:t>
      </w:r>
      <w:r w:rsidR="009518E9" w:rsidRPr="005D7EEC">
        <w:rPr>
          <w:rFonts w:cs="Arial"/>
        </w:rPr>
        <w:t>Key lessons</w:t>
      </w:r>
    </w:p>
    <w:p w14:paraId="1A2CA957" w14:textId="77777777" w:rsidR="009518E9" w:rsidRPr="005D7EEC" w:rsidRDefault="009518E9" w:rsidP="009518E9">
      <w:pPr>
        <w:pStyle w:val="Heading3"/>
        <w:rPr>
          <w:rFonts w:ascii="Arial" w:hAnsi="Arial" w:cs="Arial"/>
        </w:rPr>
      </w:pPr>
      <w:r w:rsidRPr="005D7EEC">
        <w:rPr>
          <w:rFonts w:ascii="Arial" w:hAnsi="Arial" w:cs="Arial"/>
        </w:rPr>
        <w:t>Lesson 1: The importance of consistency and coherence</w:t>
      </w:r>
    </w:p>
    <w:p w14:paraId="3E693FC1" w14:textId="77777777" w:rsidR="009518E9" w:rsidRPr="005D7EEC" w:rsidRDefault="009518E9" w:rsidP="009518E9">
      <w:pPr>
        <w:rPr>
          <w:rFonts w:cs="Arial"/>
        </w:rPr>
      </w:pPr>
      <w:r w:rsidRPr="005D7EEC">
        <w:rPr>
          <w:rFonts w:cs="Arial"/>
        </w:rPr>
        <w:t xml:space="preserve">Freiburg is home to a range of innovative urban developments, from small infill sites to large-scale greenfield urban extensions of 20,000 inhabitants. A key lesson across these developments is that of </w:t>
      </w:r>
      <w:r w:rsidRPr="005D7EEC">
        <w:rPr>
          <w:rFonts w:cs="Arial"/>
          <w:b/>
          <w:bCs/>
        </w:rPr>
        <w:t xml:space="preserve">consistency and coherence. </w:t>
      </w:r>
      <w:r w:rsidRPr="005D7EEC">
        <w:rPr>
          <w:rFonts w:cs="Arial"/>
        </w:rPr>
        <w:t xml:space="preserve">Whether on land owned by the City Council or otherwise, standards of urban design are extremely high, and the approach has remained consistent for many years. Developers therefore know what is expected, and residents can be confident about the quality of new </w:t>
      </w:r>
      <w:r w:rsidRPr="005D7EEC">
        <w:rPr>
          <w:rFonts w:cs="Arial"/>
        </w:rPr>
        <w:lastRenderedPageBreak/>
        <w:t>development, meaning that proposals for additional housebuilding are greeted more positively.</w:t>
      </w:r>
    </w:p>
    <w:p w14:paraId="66BF9E16" w14:textId="77777777" w:rsidR="009518E9" w:rsidRPr="005D7EEC" w:rsidRDefault="009518E9" w:rsidP="009518E9">
      <w:pPr>
        <w:pStyle w:val="Heading3"/>
        <w:rPr>
          <w:rFonts w:ascii="Arial" w:hAnsi="Arial" w:cs="Arial"/>
        </w:rPr>
      </w:pPr>
      <w:r w:rsidRPr="005D7EEC">
        <w:rPr>
          <w:rFonts w:ascii="Arial" w:hAnsi="Arial" w:cs="Arial"/>
        </w:rPr>
        <w:t>Lesson 2: Proactive and positive consultation and engagement</w:t>
      </w:r>
    </w:p>
    <w:p w14:paraId="60209D10" w14:textId="77777777" w:rsidR="009518E9" w:rsidRPr="005D7EEC" w:rsidRDefault="009518E9" w:rsidP="009518E9">
      <w:pPr>
        <w:rPr>
          <w:rFonts w:cs="Arial"/>
        </w:rPr>
      </w:pPr>
      <w:r w:rsidRPr="005D7EEC">
        <w:rPr>
          <w:rFonts w:cs="Arial"/>
        </w:rPr>
        <w:t xml:space="preserve">A positive approach to consultation was reflected in the referendum on whether to build </w:t>
      </w:r>
      <w:proofErr w:type="spellStart"/>
      <w:r w:rsidRPr="005D7EEC">
        <w:rPr>
          <w:rFonts w:cs="Arial"/>
        </w:rPr>
        <w:t>Dietenbach</w:t>
      </w:r>
      <w:proofErr w:type="spellEnd"/>
      <w:r w:rsidRPr="005D7EEC">
        <w:rPr>
          <w:rFonts w:cs="Arial"/>
        </w:rPr>
        <w:t xml:space="preserve">, the newest of the developments in Freiburg, and the early stages of which are under construction now. </w:t>
      </w:r>
    </w:p>
    <w:p w14:paraId="5E365E4E" w14:textId="77777777" w:rsidR="009518E9" w:rsidRPr="005D7EEC" w:rsidRDefault="009518E9" w:rsidP="009518E9">
      <w:pPr>
        <w:rPr>
          <w:rFonts w:cs="Arial"/>
        </w:rPr>
      </w:pPr>
      <w:r w:rsidRPr="005D7EEC">
        <w:rPr>
          <w:rFonts w:cs="Arial"/>
        </w:rPr>
        <w:t xml:space="preserve">A majority supported the development: 60 percent in total. Despite this, Freiburg City Council is in the midst of a long and intensive programme of </w:t>
      </w:r>
      <w:r w:rsidRPr="005D7EEC">
        <w:rPr>
          <w:rFonts w:cs="Arial"/>
          <w:b/>
          <w:bCs/>
        </w:rPr>
        <w:t>consultation and engagement</w:t>
      </w:r>
      <w:r w:rsidRPr="005D7EEC">
        <w:rPr>
          <w:rFonts w:cs="Arial"/>
        </w:rPr>
        <w:t xml:space="preserve"> on </w:t>
      </w:r>
      <w:proofErr w:type="spellStart"/>
      <w:r w:rsidRPr="005D7EEC">
        <w:rPr>
          <w:rFonts w:cs="Arial"/>
        </w:rPr>
        <w:t>Dietenbach</w:t>
      </w:r>
      <w:proofErr w:type="spellEnd"/>
      <w:r w:rsidRPr="005D7EEC">
        <w:rPr>
          <w:rFonts w:cs="Arial"/>
        </w:rPr>
        <w:t>, in part to try and convince some of the 40 percent who voted against it. The activities being undertaken include Das Fest Für Alle</w:t>
      </w:r>
      <w:r w:rsidRPr="005D7EEC">
        <w:rPr>
          <w:rStyle w:val="EndnoteReference"/>
          <w:rFonts w:cs="Arial"/>
        </w:rPr>
        <w:endnoteReference w:id="54"/>
      </w:r>
      <w:r w:rsidRPr="005D7EEC">
        <w:rPr>
          <w:rFonts w:cs="Arial"/>
        </w:rPr>
        <w:t xml:space="preserve">, a festival to give people the chance to see what new development in the </w:t>
      </w:r>
      <w:proofErr w:type="spellStart"/>
      <w:r w:rsidRPr="005D7EEC">
        <w:rPr>
          <w:rFonts w:cs="Arial"/>
        </w:rPr>
        <w:t>Dietenbach</w:t>
      </w:r>
      <w:proofErr w:type="spellEnd"/>
      <w:r w:rsidRPr="005D7EEC">
        <w:rPr>
          <w:rFonts w:cs="Arial"/>
        </w:rPr>
        <w:t xml:space="preserve"> area would be like, which coincided with our visit to Freiburg. We saw first-hand the </w:t>
      </w:r>
      <w:r w:rsidRPr="005D7EEC" w:rsidDel="00562FDC">
        <w:rPr>
          <w:rFonts w:cs="Arial"/>
        </w:rPr>
        <w:t>high</w:t>
      </w:r>
      <w:r w:rsidRPr="005D7EEC">
        <w:rPr>
          <w:rFonts w:cs="Arial"/>
        </w:rPr>
        <w:t>-quality engagement exercises being undertaken by the City Council. This offers another important lesson for planning policy makers internationally.</w:t>
      </w:r>
    </w:p>
    <w:p w14:paraId="66CCBAF6" w14:textId="77777777" w:rsidR="009518E9" w:rsidRPr="005D7EEC" w:rsidRDefault="009518E9" w:rsidP="009518E9">
      <w:pPr>
        <w:pStyle w:val="Heading3"/>
        <w:rPr>
          <w:rFonts w:ascii="Arial" w:hAnsi="Arial" w:cs="Arial"/>
        </w:rPr>
      </w:pPr>
      <w:r w:rsidRPr="005D7EEC">
        <w:rPr>
          <w:rFonts w:ascii="Arial" w:hAnsi="Arial" w:cs="Arial"/>
        </w:rPr>
        <w:t>Lesson 3: Pragmatism and flexibility</w:t>
      </w:r>
    </w:p>
    <w:p w14:paraId="2DB55942" w14:textId="72917D1E" w:rsidR="00CE5506" w:rsidRPr="005D7EEC" w:rsidRDefault="009518E9" w:rsidP="009518E9">
      <w:pPr>
        <w:rPr>
          <w:rFonts w:cs="Arial"/>
        </w:rPr>
      </w:pPr>
      <w:r w:rsidRPr="005D7EEC">
        <w:rPr>
          <w:rFonts w:cs="Arial"/>
        </w:rPr>
        <w:t xml:space="preserve">While there is a great deal to admire in Vauban, the circumstances of its development are extremely particular to it. Freiburg City Council does not, therefore, seek to replicate every aspect of it when planning for new developments. Instead, aspects which are more easily replicable are used in other schemes, such as the use of design competitions with sustainability a key criterion for success. Through such approaches planners, policy makers and others can take inspiration from Vauban, </w:t>
      </w:r>
      <w:proofErr w:type="spellStart"/>
      <w:r w:rsidRPr="005D7EEC">
        <w:rPr>
          <w:rFonts w:cs="Arial"/>
        </w:rPr>
        <w:t>Rieselfeld</w:t>
      </w:r>
      <w:proofErr w:type="spellEnd"/>
      <w:r w:rsidRPr="005D7EEC">
        <w:rPr>
          <w:rFonts w:cs="Arial"/>
        </w:rPr>
        <w:t xml:space="preserve">, </w:t>
      </w:r>
      <w:proofErr w:type="spellStart"/>
      <w:r w:rsidRPr="005D7EEC">
        <w:rPr>
          <w:rFonts w:cs="Arial"/>
        </w:rPr>
        <w:t>Dietenbach</w:t>
      </w:r>
      <w:proofErr w:type="spellEnd"/>
      <w:r w:rsidRPr="005D7EEC">
        <w:rPr>
          <w:rFonts w:cs="Arial"/>
        </w:rPr>
        <w:t xml:space="preserve"> and other developments in Freiburg and apply these lessons to a range of different contexts, flexibly picking the aspects most adaptable to their circumstances.</w:t>
      </w:r>
    </w:p>
    <w:p w14:paraId="472DD608" w14:textId="77777777" w:rsidR="001308B1" w:rsidRDefault="001308B1">
      <w:pPr>
        <w:spacing w:after="120" w:line="276" w:lineRule="auto"/>
        <w:rPr>
          <w:rFonts w:eastAsia="MS Gothic" w:cs="Arial"/>
          <w:b/>
          <w:bCs/>
          <w:noProof/>
          <w:color w:val="012E64"/>
          <w:kern w:val="0"/>
          <w:szCs w:val="24"/>
          <w:lang w:eastAsia="en-GB"/>
        </w:rPr>
      </w:pPr>
      <w:r>
        <w:rPr>
          <w:rFonts w:cs="Arial"/>
        </w:rPr>
        <w:br w:type="page"/>
      </w:r>
    </w:p>
    <w:p w14:paraId="76EB6392" w14:textId="67D73C36" w:rsidR="009518E9" w:rsidRPr="005D7EEC" w:rsidRDefault="00A47E30" w:rsidP="00CE5506">
      <w:pPr>
        <w:pStyle w:val="Heading2"/>
        <w:rPr>
          <w:rFonts w:cs="Arial"/>
          <w:color w:val="0F4761" w:themeColor="accent1" w:themeShade="BF"/>
          <w:sz w:val="28"/>
          <w:szCs w:val="40"/>
        </w:rPr>
      </w:pPr>
      <w:r w:rsidRPr="005D7EEC">
        <w:rPr>
          <w:rFonts w:cs="Arial"/>
        </w:rPr>
        <w:lastRenderedPageBreak/>
        <w:t xml:space="preserve">3.8 </w:t>
      </w:r>
      <w:r w:rsidR="009518E9" w:rsidRPr="005D7EEC">
        <w:rPr>
          <w:rFonts w:cs="Arial"/>
        </w:rPr>
        <w:t>References</w:t>
      </w:r>
      <w:r w:rsidR="009518E9" w:rsidRPr="005D7EEC">
        <w:rPr>
          <w:rFonts w:cs="Arial"/>
        </w:rPr>
        <w:br w:type="page"/>
      </w:r>
    </w:p>
    <w:p w14:paraId="3F57BD44" w14:textId="77777777" w:rsidR="009518E9" w:rsidRPr="005D7EEC" w:rsidRDefault="009518E9" w:rsidP="009518E9">
      <w:pPr>
        <w:rPr>
          <w:rFonts w:cs="Arial"/>
        </w:rPr>
        <w:sectPr w:rsidR="009518E9" w:rsidRPr="005D7EEC" w:rsidSect="009518E9">
          <w:endnotePr>
            <w:numFmt w:val="decimal"/>
          </w:endnotePr>
          <w:pgSz w:w="11906" w:h="16838"/>
          <w:pgMar w:top="1440" w:right="1440" w:bottom="1440" w:left="1440" w:header="708" w:footer="741" w:gutter="0"/>
          <w:cols w:space="708"/>
          <w:docGrid w:linePitch="360"/>
        </w:sectPr>
      </w:pPr>
    </w:p>
    <w:p w14:paraId="2404C2D4" w14:textId="374F97DC" w:rsidR="009518E9" w:rsidRPr="005D7EEC" w:rsidRDefault="00057D7F" w:rsidP="0036491E">
      <w:pPr>
        <w:pStyle w:val="Heading1"/>
        <w:rPr>
          <w:rFonts w:cs="Arial"/>
        </w:rPr>
      </w:pPr>
      <w:bookmarkStart w:id="12" w:name="_Toc216946591"/>
      <w:bookmarkStart w:id="13" w:name="_Toc221626819"/>
      <w:r w:rsidRPr="005D7EEC">
        <w:rPr>
          <w:rFonts w:cs="Arial"/>
        </w:rPr>
        <w:lastRenderedPageBreak/>
        <w:t xml:space="preserve">4. </w:t>
      </w:r>
      <w:r w:rsidR="001308B1">
        <w:rPr>
          <w:rFonts w:cs="Arial"/>
        </w:rPr>
        <w:t xml:space="preserve">Case study: </w:t>
      </w:r>
      <w:r w:rsidR="009518E9" w:rsidRPr="005D7EEC">
        <w:rPr>
          <w:rFonts w:cs="Arial"/>
        </w:rPr>
        <w:t>The Paris region</w:t>
      </w:r>
      <w:bookmarkEnd w:id="12"/>
      <w:bookmarkEnd w:id="13"/>
    </w:p>
    <w:p w14:paraId="65B312C9" w14:textId="77777777" w:rsidR="009518E9" w:rsidRPr="005D7EEC" w:rsidDel="00276489" w:rsidRDefault="009518E9" w:rsidP="009518E9">
      <w:pPr>
        <w:rPr>
          <w:rFonts w:cs="Arial"/>
        </w:rPr>
      </w:pPr>
      <w:r w:rsidRPr="005D7EEC">
        <w:rPr>
          <w:rFonts w:cs="Arial"/>
        </w:rPr>
        <w:t xml:space="preserve">Planning new towns collectively and at the regional level can create an additional economic centre of gravity to a dominant central city </w:t>
      </w:r>
    </w:p>
    <w:p w14:paraId="21E485B5" w14:textId="148633B6" w:rsidR="009518E9" w:rsidRPr="005D7EEC" w:rsidRDefault="00057D7F" w:rsidP="00CE5506">
      <w:pPr>
        <w:pStyle w:val="Heading2"/>
        <w:rPr>
          <w:rFonts w:cs="Arial"/>
        </w:rPr>
      </w:pPr>
      <w:bookmarkStart w:id="14" w:name="_Hlk211267917"/>
      <w:r w:rsidRPr="005D7EEC">
        <w:rPr>
          <w:rFonts w:cs="Arial"/>
        </w:rPr>
        <w:t xml:space="preserve">4.1 </w:t>
      </w:r>
      <w:r w:rsidR="009518E9" w:rsidRPr="005D7EEC">
        <w:rPr>
          <w:rFonts w:cs="Arial"/>
        </w:rPr>
        <w:t>Headlines</w:t>
      </w:r>
    </w:p>
    <w:p w14:paraId="56EA3EAE" w14:textId="77777777" w:rsidR="009518E9" w:rsidRPr="005D7EEC" w:rsidRDefault="009518E9" w:rsidP="009518E9">
      <w:pPr>
        <w:rPr>
          <w:rFonts w:cs="Arial"/>
        </w:rPr>
      </w:pPr>
      <w:r w:rsidRPr="005D7EEC">
        <w:rPr>
          <w:rStyle w:val="Heading3Char"/>
          <w:rFonts w:cs="Arial"/>
        </w:rPr>
        <w:t>Location</w:t>
      </w:r>
    </w:p>
    <w:p w14:paraId="73736F73" w14:textId="77777777" w:rsidR="009518E9" w:rsidRPr="005D7EEC" w:rsidRDefault="009518E9" w:rsidP="009518E9">
      <w:pPr>
        <w:rPr>
          <w:rFonts w:cs="Arial"/>
        </w:rPr>
      </w:pPr>
      <w:r w:rsidRPr="005D7EEC">
        <w:rPr>
          <w:rFonts w:cs="Arial"/>
        </w:rPr>
        <w:t>Paris, France, Europe</w:t>
      </w:r>
    </w:p>
    <w:p w14:paraId="2E87919B" w14:textId="77777777" w:rsidR="009518E9" w:rsidRPr="005D7EEC" w:rsidRDefault="009518E9" w:rsidP="009518E9">
      <w:pPr>
        <w:rPr>
          <w:rFonts w:cs="Arial"/>
        </w:rPr>
      </w:pPr>
      <w:r w:rsidRPr="005D7EEC">
        <w:rPr>
          <w:rStyle w:val="Heading3Char"/>
          <w:rFonts w:cs="Arial"/>
        </w:rPr>
        <w:t>Key dates</w:t>
      </w:r>
    </w:p>
    <w:p w14:paraId="21E9A07B" w14:textId="77777777" w:rsidR="009518E9" w:rsidRPr="005D7EEC" w:rsidRDefault="009518E9" w:rsidP="009518E9">
      <w:pPr>
        <w:rPr>
          <w:rFonts w:cs="Arial"/>
        </w:rPr>
      </w:pPr>
      <w:r w:rsidRPr="005D7EEC">
        <w:rPr>
          <w:rFonts w:cs="Arial"/>
        </w:rPr>
        <w:t>1965-present</w:t>
      </w:r>
    </w:p>
    <w:p w14:paraId="1ABE58DD" w14:textId="77777777" w:rsidR="009518E9" w:rsidRPr="005D7EEC" w:rsidRDefault="009518E9" w:rsidP="009518E9">
      <w:pPr>
        <w:rPr>
          <w:rFonts w:cs="Arial"/>
        </w:rPr>
      </w:pPr>
      <w:r w:rsidRPr="005D7EEC">
        <w:rPr>
          <w:rStyle w:val="Heading3Char"/>
          <w:rFonts w:cs="Arial"/>
        </w:rPr>
        <w:t>Key features</w:t>
      </w:r>
    </w:p>
    <w:p w14:paraId="1363E962" w14:textId="77777777" w:rsidR="009518E9" w:rsidRPr="005D7EEC" w:rsidRDefault="009518E9" w:rsidP="009518E9">
      <w:pPr>
        <w:rPr>
          <w:rFonts w:cs="Arial"/>
        </w:rPr>
      </w:pPr>
      <w:r w:rsidRPr="005D7EEC">
        <w:rPr>
          <w:rFonts w:cs="Arial"/>
        </w:rPr>
        <w:t>A strategy of “deconcentrated concentration” in five new towns was intended to fix earlier problems of urban sprawl and isolated housing estates around France’s capital city. These new towns’ modernist design principles have not always stood the test of time and some are being retrofitted.</w:t>
      </w:r>
    </w:p>
    <w:p w14:paraId="7AFD18EF" w14:textId="77777777" w:rsidR="009518E9" w:rsidRPr="005D7EEC" w:rsidRDefault="009518E9" w:rsidP="009518E9">
      <w:pPr>
        <w:pStyle w:val="Heading3"/>
        <w:rPr>
          <w:rFonts w:ascii="Arial" w:hAnsi="Arial" w:cs="Arial"/>
        </w:rPr>
      </w:pPr>
      <w:r w:rsidRPr="005D7EEC">
        <w:rPr>
          <w:rFonts w:ascii="Arial" w:hAnsi="Arial" w:cs="Arial"/>
        </w:rPr>
        <w:t>Key lessons</w:t>
      </w:r>
    </w:p>
    <w:p w14:paraId="5AB27BD6" w14:textId="77777777" w:rsidR="009518E9" w:rsidRPr="005D7EEC" w:rsidRDefault="009518E9" w:rsidP="009518E9">
      <w:pPr>
        <w:numPr>
          <w:ilvl w:val="0"/>
          <w:numId w:val="16"/>
        </w:numPr>
        <w:ind w:left="357" w:hanging="357"/>
        <w:contextualSpacing/>
        <w:rPr>
          <w:rFonts w:cs="Arial"/>
        </w:rPr>
      </w:pPr>
      <w:r w:rsidRPr="005D7EEC">
        <w:rPr>
          <w:rFonts w:cs="Arial"/>
        </w:rPr>
        <w:t>Ambitious, top-down governance and a consistent national planning strategy and economic focus helped ensure the Paris region new towns were built quickly on a big scale. Substantial regional public transport – mostly rail – has been important to moving people to and from them and supporting employment and access to affordable housing.</w:t>
      </w:r>
    </w:p>
    <w:p w14:paraId="0C45BA0E" w14:textId="77777777" w:rsidR="009518E9" w:rsidRPr="005D7EEC" w:rsidRDefault="009518E9" w:rsidP="009518E9">
      <w:pPr>
        <w:numPr>
          <w:ilvl w:val="0"/>
          <w:numId w:val="16"/>
        </w:numPr>
        <w:ind w:left="357" w:hanging="357"/>
        <w:contextualSpacing/>
        <w:rPr>
          <w:rFonts w:cs="Arial"/>
        </w:rPr>
      </w:pPr>
      <w:r w:rsidRPr="005D7EEC">
        <w:rPr>
          <w:rFonts w:cs="Arial"/>
        </w:rPr>
        <w:t>Grand architectural visions for housing and public spaces can overshadow the reality of community needs. Expensive-to-maintain, low quality, unpopular housing and public spaces are now requiring subsequent interventions, which tend to replicate more traditional placemaking approaches.</w:t>
      </w:r>
    </w:p>
    <w:p w14:paraId="69FF617B" w14:textId="77777777" w:rsidR="009518E9" w:rsidRPr="005D7EEC" w:rsidRDefault="009518E9" w:rsidP="009518E9">
      <w:pPr>
        <w:numPr>
          <w:ilvl w:val="0"/>
          <w:numId w:val="16"/>
        </w:numPr>
        <w:rPr>
          <w:rFonts w:cs="Arial"/>
        </w:rPr>
      </w:pPr>
      <w:r w:rsidRPr="005D7EEC">
        <w:rPr>
          <w:rFonts w:cs="Arial"/>
        </w:rPr>
        <w:lastRenderedPageBreak/>
        <w:t>This new approach is focused on mixed land uses; walkable, attractive streets and neighbourhoods; human-scaled town centres with shops, cafes and food markets; excellent public spaces; and good quality medium density-medium rise housing, using robust materials. These examples of new and redeveloped places are proving both popular and economically viable.</w:t>
      </w:r>
    </w:p>
    <w:p w14:paraId="054BA6F2" w14:textId="77777777" w:rsidR="009518E9" w:rsidRPr="005D7EEC" w:rsidRDefault="009518E9" w:rsidP="009518E9">
      <w:pPr>
        <w:pStyle w:val="Heading3"/>
        <w:rPr>
          <w:rFonts w:ascii="Arial" w:hAnsi="Arial" w:cs="Arial"/>
        </w:rPr>
      </w:pPr>
      <w:r w:rsidRPr="005D7EEC">
        <w:rPr>
          <w:rFonts w:ascii="Arial" w:hAnsi="Arial" w:cs="Arial"/>
        </w:rPr>
        <w:t>Key recommendations</w:t>
      </w:r>
    </w:p>
    <w:p w14:paraId="42503DAC" w14:textId="77777777" w:rsidR="009518E9" w:rsidRPr="005D7EEC" w:rsidRDefault="009518E9" w:rsidP="009518E9">
      <w:pPr>
        <w:numPr>
          <w:ilvl w:val="0"/>
          <w:numId w:val="16"/>
        </w:numPr>
        <w:ind w:left="357" w:hanging="357"/>
        <w:contextualSpacing/>
        <w:rPr>
          <w:rFonts w:cs="Arial"/>
        </w:rPr>
      </w:pPr>
      <w:r w:rsidRPr="005D7EEC">
        <w:rPr>
          <w:rFonts w:cs="Arial"/>
        </w:rPr>
        <w:t>Provide consistent vision, governance, and planning policy focus on the new town programme over time.</w:t>
      </w:r>
    </w:p>
    <w:p w14:paraId="1B5ACC53" w14:textId="77777777" w:rsidR="009518E9" w:rsidRPr="005D7EEC" w:rsidRDefault="009518E9" w:rsidP="009518E9">
      <w:pPr>
        <w:numPr>
          <w:ilvl w:val="0"/>
          <w:numId w:val="16"/>
        </w:numPr>
        <w:ind w:left="357" w:hanging="357"/>
        <w:contextualSpacing/>
        <w:rPr>
          <w:rFonts w:cs="Arial"/>
        </w:rPr>
      </w:pPr>
      <w:r w:rsidRPr="005D7EEC">
        <w:rPr>
          <w:rFonts w:cs="Arial"/>
        </w:rPr>
        <w:t>Make planning policy support affordable housing by keeping land costs low.</w:t>
      </w:r>
    </w:p>
    <w:p w14:paraId="055D41A8" w14:textId="77777777" w:rsidR="009518E9" w:rsidRPr="005D7EEC" w:rsidRDefault="009518E9" w:rsidP="009518E9">
      <w:pPr>
        <w:numPr>
          <w:ilvl w:val="0"/>
          <w:numId w:val="16"/>
        </w:numPr>
        <w:ind w:left="357" w:hanging="357"/>
        <w:contextualSpacing/>
        <w:rPr>
          <w:rFonts w:cs="Arial"/>
        </w:rPr>
      </w:pPr>
      <w:r w:rsidRPr="005D7EEC">
        <w:rPr>
          <w:rFonts w:cs="Arial"/>
        </w:rPr>
        <w:t>Focus on regional and local transport infrastructure to ensure new towns are connected to each other and the wider economy. This means that residents can more easily reduce their reliance on the private car.</w:t>
      </w:r>
    </w:p>
    <w:p w14:paraId="0EF6A0E8" w14:textId="77777777" w:rsidR="00CE5506" w:rsidRPr="005D7EEC" w:rsidRDefault="009518E9" w:rsidP="009518E9">
      <w:pPr>
        <w:numPr>
          <w:ilvl w:val="0"/>
          <w:numId w:val="16"/>
        </w:numPr>
        <w:rPr>
          <w:rFonts w:cs="Arial"/>
        </w:rPr>
      </w:pPr>
      <w:r w:rsidRPr="005D7EEC">
        <w:rPr>
          <w:rFonts w:cs="Arial"/>
        </w:rPr>
        <w:t xml:space="preserve">Employ </w:t>
      </w:r>
      <w:proofErr w:type="spellStart"/>
      <w:r w:rsidRPr="005D7EEC">
        <w:rPr>
          <w:rFonts w:cs="Arial"/>
        </w:rPr>
        <w:t>masterplanning</w:t>
      </w:r>
      <w:proofErr w:type="spellEnd"/>
      <w:r w:rsidRPr="005D7EEC">
        <w:rPr>
          <w:rFonts w:cs="Arial"/>
        </w:rPr>
        <w:t xml:space="preserve"> and partnerships to guide placemaking which makes new towns more attractive places to live for current and new residents.</w:t>
      </w:r>
      <w:r w:rsidR="00CE5506" w:rsidRPr="005D7EEC">
        <w:rPr>
          <w:rFonts w:cs="Arial"/>
          <w:noProof/>
        </w:rPr>
        <w:t xml:space="preserve"> </w:t>
      </w:r>
      <w:r w:rsidR="00CE5506" w:rsidRPr="005D7EEC">
        <w:rPr>
          <w:rFonts w:cs="Arial"/>
          <w:noProof/>
        </w:rPr>
        <w:drawing>
          <wp:inline distT="0" distB="0" distL="0" distR="0" wp14:anchorId="1C793DE7" wp14:editId="6F94FA41">
            <wp:extent cx="4396242" cy="3390900"/>
            <wp:effectExtent l="0" t="0" r="4445" b="0"/>
            <wp:docPr id="1031994850" name="drawing" descr="A map which shows Paris and its built-up area, within the context of the Ile-de-France department boundaries, and the five new towns, all abutting or nearly adjacent to the edge of the Paris built-u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94850" name="drawing" descr="A map which shows Paris and its built-up area, within the context of the Ile-de-France department boundaries, and the five new towns, all abutting or nearly adjacent to the edge of the Paris built-up area."/>
                    <pic:cNvPicPr/>
                  </pic:nvPicPr>
                  <pic:blipFill>
                    <a:blip r:embed="rId32" cstate="screen">
                      <a:extLst>
                        <a:ext uri="{28A0092B-C50C-407E-A947-70E740481C1C}">
                          <a14:useLocalDpi xmlns:a14="http://schemas.microsoft.com/office/drawing/2010/main"/>
                        </a:ext>
                      </a:extLst>
                    </a:blip>
                    <a:stretch>
                      <a:fillRect/>
                    </a:stretch>
                  </pic:blipFill>
                  <pic:spPr>
                    <a:xfrm>
                      <a:off x="0" y="0"/>
                      <a:ext cx="4397654" cy="3391989"/>
                    </a:xfrm>
                    <a:prstGeom prst="rect">
                      <a:avLst/>
                    </a:prstGeom>
                  </pic:spPr>
                </pic:pic>
              </a:graphicData>
            </a:graphic>
          </wp:inline>
        </w:drawing>
      </w:r>
    </w:p>
    <w:p w14:paraId="2174B739" w14:textId="68E4073D" w:rsidR="009518E9" w:rsidRPr="005D7EEC" w:rsidRDefault="009518E9" w:rsidP="00CE5506">
      <w:pPr>
        <w:rPr>
          <w:rFonts w:cs="Arial"/>
        </w:rPr>
      </w:pPr>
      <w:r w:rsidRPr="005D7EEC">
        <w:rPr>
          <w:rFonts w:cs="Arial"/>
          <w:i/>
          <w:u w:color="000000"/>
          <w:bdr w:val="nil"/>
          <w:lang w:eastAsia="en-GB"/>
        </w:rPr>
        <w:t>Figure 3.1: Location of Paris region new towns. Source: Rubenstein</w:t>
      </w:r>
      <w:r w:rsidRPr="005D7EEC">
        <w:rPr>
          <w:rStyle w:val="EndnoteReference"/>
          <w:rFonts w:eastAsia="Aptos" w:cs="Arial"/>
          <w:i/>
          <w:color w:val="000000" w:themeColor="text1"/>
          <w:u w:color="000000"/>
          <w:bdr w:val="nil"/>
          <w:lang w:eastAsia="en-GB"/>
          <w14:textOutline w14:w="0" w14:cap="flat" w14:cmpd="sng" w14:algn="ctr">
            <w14:noFill/>
            <w14:prstDash w14:val="solid"/>
            <w14:bevel/>
          </w14:textOutline>
          <w14:ligatures w14:val="none"/>
        </w:rPr>
        <w:endnoteReference w:id="55"/>
      </w:r>
      <w:r w:rsidRPr="005D7EEC">
        <w:rPr>
          <w:rFonts w:cs="Arial"/>
          <w:i/>
          <w:iCs/>
          <w:u w:color="000000"/>
          <w:bdr w:val="nil"/>
          <w:lang w:eastAsia="en-GB"/>
        </w:rPr>
        <w:t>.</w:t>
      </w:r>
    </w:p>
    <w:p w14:paraId="15A5BF1B" w14:textId="77777777" w:rsidR="009518E9" w:rsidRPr="005D7EEC" w:rsidRDefault="009518E9" w:rsidP="009518E9">
      <w:pPr>
        <w:rPr>
          <w:rFonts w:cs="Arial"/>
          <w:u w:color="000000"/>
          <w:bdr w:val="nil"/>
          <w:lang w:eastAsia="en-GB"/>
        </w:rPr>
      </w:pPr>
    </w:p>
    <w:p w14:paraId="12A12788" w14:textId="52EE552E" w:rsidR="009518E9" w:rsidRPr="005D7EEC" w:rsidRDefault="00057D7F" w:rsidP="00CE5506">
      <w:pPr>
        <w:pStyle w:val="Heading2"/>
        <w:rPr>
          <w:rFonts w:cs="Arial"/>
        </w:rPr>
      </w:pPr>
      <w:r w:rsidRPr="005D7EEC">
        <w:rPr>
          <w:rFonts w:cs="Arial"/>
        </w:rPr>
        <w:lastRenderedPageBreak/>
        <w:t xml:space="preserve">4.2 </w:t>
      </w:r>
      <w:r w:rsidR="009518E9" w:rsidRPr="005D7EEC">
        <w:rPr>
          <w:rFonts w:cs="Arial"/>
        </w:rPr>
        <w:t xml:space="preserve">Overview </w:t>
      </w:r>
    </w:p>
    <w:p w14:paraId="4B765323" w14:textId="77777777" w:rsidR="009518E9" w:rsidRPr="005D7EEC" w:rsidRDefault="009518E9" w:rsidP="009518E9">
      <w:pPr>
        <w:rPr>
          <w:rFonts w:cs="Arial"/>
        </w:rPr>
      </w:pPr>
      <w:r w:rsidRPr="005D7EEC">
        <w:rPr>
          <w:rFonts w:cs="Arial"/>
        </w:rPr>
        <w:t>A strong national vision in France saw the five new towns of Cergy-</w:t>
      </w:r>
      <w:proofErr w:type="spellStart"/>
      <w:r w:rsidRPr="005D7EEC">
        <w:rPr>
          <w:rFonts w:cs="Arial"/>
        </w:rPr>
        <w:t>Pontoise</w:t>
      </w:r>
      <w:proofErr w:type="spellEnd"/>
      <w:r w:rsidRPr="005D7EEC">
        <w:rPr>
          <w:rFonts w:cs="Arial"/>
        </w:rPr>
        <w:t>, Marne-le-Vallée, Quentin-</w:t>
      </w:r>
      <w:proofErr w:type="spellStart"/>
      <w:r w:rsidRPr="005D7EEC">
        <w:rPr>
          <w:rFonts w:cs="Arial"/>
        </w:rPr>
        <w:t>en</w:t>
      </w:r>
      <w:proofErr w:type="spellEnd"/>
      <w:r w:rsidRPr="005D7EEC">
        <w:rPr>
          <w:rFonts w:cs="Arial"/>
        </w:rPr>
        <w:t xml:space="preserve">-Yvelines, Evry and </w:t>
      </w:r>
      <w:proofErr w:type="spellStart"/>
      <w:r w:rsidRPr="005D7EEC">
        <w:rPr>
          <w:rFonts w:cs="Arial"/>
        </w:rPr>
        <w:t>Sénart</w:t>
      </w:r>
      <w:proofErr w:type="spellEnd"/>
      <w:r w:rsidRPr="005D7EEC">
        <w:rPr>
          <w:rFonts w:cs="Arial"/>
        </w:rPr>
        <w:t xml:space="preserve"> developed in the region around Paris from 1965. Each had a Master Plan for Development and Urban Planning (SDAU) creating a mechanism for this to occur. All the new towns were based on existing urban area and intended to absorb up to 500,000 residents, with an overall projected population of some four and half million people, later revised downward to 1.7 million</w:t>
      </w:r>
      <w:r w:rsidRPr="005D7EEC">
        <w:rPr>
          <w:rFonts w:cs="Arial"/>
          <w:vertAlign w:val="superscript"/>
        </w:rPr>
        <w:endnoteReference w:id="56"/>
      </w:r>
      <w:r w:rsidRPr="005D7EEC">
        <w:rPr>
          <w:rFonts w:cs="Arial"/>
        </w:rPr>
        <w:t xml:space="preserve"> . </w:t>
      </w:r>
    </w:p>
    <w:p w14:paraId="1560518A" w14:textId="77777777" w:rsidR="009518E9" w:rsidRPr="005D7EEC" w:rsidRDefault="009518E9" w:rsidP="009518E9">
      <w:pPr>
        <w:rPr>
          <w:rFonts w:cs="Arial"/>
        </w:rPr>
      </w:pPr>
      <w:r w:rsidRPr="005D7EEC">
        <w:rPr>
          <w:rFonts w:cs="Arial"/>
        </w:rPr>
        <w:t>In a strategy of “deconcentrated concentration” of people and jobs, the new towns were intended to fix earlier suburban expansion problems caused by isolated housing estates and urban sprawl around Paris</w:t>
      </w:r>
      <w:r w:rsidRPr="005D7EEC">
        <w:rPr>
          <w:rFonts w:cs="Arial"/>
          <w:vertAlign w:val="superscript"/>
        </w:rPr>
        <w:endnoteReference w:id="57"/>
      </w:r>
      <w:r w:rsidRPr="005D7EEC">
        <w:rPr>
          <w:rFonts w:cs="Arial"/>
        </w:rPr>
        <w:t xml:space="preserve">. The Paris region new towns offer lessons on adaptability of planned settlements </w:t>
      </w:r>
      <w:bookmarkStart w:id="15" w:name="_Int_ueYnY4bO"/>
      <w:r w:rsidRPr="005D7EEC">
        <w:rPr>
          <w:rFonts w:cs="Arial"/>
        </w:rPr>
        <w:t>including</w:t>
      </w:r>
      <w:bookmarkEnd w:id="15"/>
      <w:r w:rsidRPr="005D7EEC">
        <w:rPr>
          <w:rFonts w:cs="Arial"/>
        </w:rPr>
        <w:t xml:space="preserve"> on governance and planning coherence, economic diversification, rapid housing provision at scale, regional transport infrastructure, and more recently, specific town and </w:t>
      </w:r>
      <w:bookmarkStart w:id="16" w:name="_Int_hyxK3u3B"/>
      <w:r w:rsidRPr="005D7EEC">
        <w:rPr>
          <w:rFonts w:cs="Arial"/>
        </w:rPr>
        <w:t>neighbourhood</w:t>
      </w:r>
      <w:bookmarkEnd w:id="16"/>
      <w:r w:rsidRPr="005D7EEC">
        <w:rPr>
          <w:rFonts w:cs="Arial"/>
        </w:rPr>
        <w:t xml:space="preserve"> examples of liveable and popular placemaking.</w:t>
      </w:r>
    </w:p>
    <w:p w14:paraId="2B24DD39" w14:textId="77777777" w:rsidR="009518E9" w:rsidRPr="005D7EEC" w:rsidRDefault="009518E9" w:rsidP="009518E9">
      <w:pPr>
        <w:rPr>
          <w:rFonts w:cs="Arial"/>
        </w:rPr>
      </w:pPr>
      <w:r w:rsidRPr="005D7EEC">
        <w:rPr>
          <w:rFonts w:cs="Arial"/>
        </w:rPr>
        <w:t>The new towns were urban “poles” developed as part of a national urban programme to provide housing and jobs away from the overheated, unaffordable central Paris</w:t>
      </w:r>
      <w:r w:rsidRPr="005D7EEC" w:rsidDel="00F32E7B">
        <w:rPr>
          <w:rFonts w:cs="Arial"/>
        </w:rPr>
        <w:t xml:space="preserve">. </w:t>
      </w:r>
      <w:r w:rsidRPr="005D7EEC">
        <w:rPr>
          <w:rFonts w:cs="Arial"/>
        </w:rPr>
        <w:t xml:space="preserve"> The new towns offered some important key features, such as affordable housing, good jobs and pleasant green environments, but their 20</w:t>
      </w:r>
      <w:r w:rsidRPr="005D7EEC">
        <w:rPr>
          <w:rFonts w:cs="Arial"/>
          <w:vertAlign w:val="superscript"/>
        </w:rPr>
        <w:t>th</w:t>
      </w:r>
      <w:r w:rsidRPr="005D7EEC">
        <w:rPr>
          <w:rFonts w:cs="Arial"/>
        </w:rPr>
        <w:t xml:space="preserve"> century principles for designing housing and places have not always stood the test of time. More recent new and redeveloped neighbourhoods have proved more popular and sustainable by following a traditional town design and </w:t>
      </w:r>
      <w:bookmarkStart w:id="17" w:name="_Int_jdJy0uJM"/>
      <w:proofErr w:type="spellStart"/>
      <w:r w:rsidRPr="005D7EEC">
        <w:rPr>
          <w:rFonts w:cs="Arial"/>
        </w:rPr>
        <w:t>masterplanning</w:t>
      </w:r>
      <w:bookmarkEnd w:id="17"/>
      <w:proofErr w:type="spellEnd"/>
      <w:r w:rsidRPr="005D7EEC">
        <w:rPr>
          <w:rFonts w:cs="Arial"/>
        </w:rPr>
        <w:t xml:space="preserve"> approach to their placemaking.</w:t>
      </w:r>
    </w:p>
    <w:p w14:paraId="40478F20" w14:textId="77777777" w:rsidR="009518E9" w:rsidRPr="005D7EEC" w:rsidRDefault="009518E9" w:rsidP="009518E9">
      <w:pPr>
        <w:rPr>
          <w:rFonts w:cs="Arial"/>
        </w:rPr>
      </w:pPr>
    </w:p>
    <w:p w14:paraId="144A9A0A" w14:textId="77777777" w:rsidR="009518E9" w:rsidRPr="005D7EEC" w:rsidRDefault="009518E9" w:rsidP="009518E9">
      <w:pPr>
        <w:rPr>
          <w:rFonts w:eastAsia="Aptos" w:cs="Arial"/>
          <w:color w:val="000000" w:themeColor="text1"/>
        </w:rPr>
      </w:pPr>
      <w:r w:rsidRPr="005D7EEC">
        <w:rPr>
          <w:rFonts w:cs="Arial"/>
          <w:noProof/>
        </w:rPr>
        <w:lastRenderedPageBreak/>
        <w:drawing>
          <wp:inline distT="0" distB="0" distL="0" distR="0" wp14:anchorId="7E7FE869" wp14:editId="543E2818">
            <wp:extent cx="3996267" cy="2997200"/>
            <wp:effectExtent l="0" t="0" r="4445" b="0"/>
            <wp:docPr id="1229431440" name="drawing" descr="Photograph of the corner of a plaza surrounded by six-storey apartments with distinctive modernist concrete structural elements supporting balconies which recede in size higher up the building. At ground level there are a small number of pedestrians, streetlights, and possible empty shopfr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31440" name="drawing" descr="Photograph of the corner of a plaza surrounded by six-storey apartments with distinctive modernist concrete structural elements supporting balconies which recede in size higher up the building. At ground level there are a small number of pedestrians, streetlights, and possible empty shopfronts."/>
                    <pic:cNvPicPr/>
                  </pic:nvPicPr>
                  <pic:blipFill>
                    <a:blip r:embed="rId33">
                      <a:extLst>
                        <a:ext uri="{28A0092B-C50C-407E-A947-70E740481C1C}">
                          <a14:useLocalDpi xmlns:a14="http://schemas.microsoft.com/office/drawing/2010/main"/>
                        </a:ext>
                      </a:extLst>
                    </a:blip>
                    <a:stretch>
                      <a:fillRect/>
                    </a:stretch>
                  </pic:blipFill>
                  <pic:spPr>
                    <a:xfrm>
                      <a:off x="0" y="0"/>
                      <a:ext cx="3998811" cy="2999108"/>
                    </a:xfrm>
                    <a:prstGeom prst="rect">
                      <a:avLst/>
                    </a:prstGeom>
                  </pic:spPr>
                </pic:pic>
              </a:graphicData>
            </a:graphic>
          </wp:inline>
        </w:drawing>
      </w:r>
    </w:p>
    <w:p w14:paraId="0D043C31" w14:textId="77777777" w:rsidR="009518E9" w:rsidRPr="005D7EEC" w:rsidRDefault="009518E9" w:rsidP="009518E9">
      <w:pPr>
        <w:rPr>
          <w:rFonts w:cs="Arial"/>
          <w:i/>
          <w:u w:color="000000"/>
          <w:bdr w:val="nil"/>
          <w:lang w:eastAsia="en-GB"/>
        </w:rPr>
      </w:pPr>
      <w:r w:rsidRPr="005D7EEC">
        <w:rPr>
          <w:rFonts w:cs="Arial"/>
          <w:i/>
          <w:u w:color="000000"/>
          <w:bdr w:val="nil"/>
          <w:lang w:eastAsia="en-GB"/>
        </w:rPr>
        <w:t>Figure 3.2: Cergy-</w:t>
      </w:r>
      <w:proofErr w:type="spellStart"/>
      <w:r w:rsidRPr="005D7EEC">
        <w:rPr>
          <w:rFonts w:cs="Arial"/>
          <w:i/>
          <w:u w:color="000000"/>
          <w:bdr w:val="nil"/>
          <w:lang w:eastAsia="en-GB"/>
        </w:rPr>
        <w:t>Pontoise</w:t>
      </w:r>
      <w:proofErr w:type="spellEnd"/>
      <w:r w:rsidRPr="005D7EEC">
        <w:rPr>
          <w:rFonts w:cs="Arial"/>
          <w:i/>
          <w:u w:color="000000"/>
          <w:bdr w:val="nil"/>
          <w:lang w:eastAsia="en-GB"/>
        </w:rPr>
        <w:t xml:space="preserve"> New Town </w:t>
      </w:r>
      <w:proofErr w:type="spellStart"/>
      <w:r w:rsidRPr="005D7EEC">
        <w:rPr>
          <w:rFonts w:cs="Arial"/>
          <w:i/>
          <w:u w:color="000000"/>
          <w:bdr w:val="nil"/>
          <w:lang w:eastAsia="en-GB"/>
        </w:rPr>
        <w:t>town</w:t>
      </w:r>
      <w:proofErr w:type="spellEnd"/>
      <w:r w:rsidRPr="005D7EEC">
        <w:rPr>
          <w:rFonts w:cs="Arial"/>
          <w:i/>
          <w:u w:color="000000"/>
          <w:bdr w:val="nil"/>
          <w:lang w:eastAsia="en-GB"/>
        </w:rPr>
        <w:t xml:space="preserve"> centre area to the east of Paris. </w:t>
      </w:r>
      <w:bookmarkStart w:id="18" w:name="_Int_TXhmmITH"/>
      <w:r w:rsidRPr="005D7EEC">
        <w:rPr>
          <w:rFonts w:cs="Arial"/>
          <w:i/>
          <w:u w:color="000000"/>
          <w:bdr w:val="nil"/>
          <w:lang w:eastAsia="en-GB"/>
        </w:rPr>
        <w:t>Source:</w:t>
      </w:r>
      <w:bookmarkEnd w:id="18"/>
      <w:r w:rsidRPr="005D7EEC">
        <w:rPr>
          <w:rFonts w:cs="Arial"/>
          <w:i/>
          <w:u w:color="000000"/>
          <w:bdr w:val="nil"/>
          <w:lang w:eastAsia="en-GB"/>
        </w:rPr>
        <w:t xml:space="preserve"> Photograph by Susan Parham, 2025</w:t>
      </w:r>
    </w:p>
    <w:p w14:paraId="0616C230" w14:textId="7778A206" w:rsidR="009518E9" w:rsidRPr="005D7EEC" w:rsidRDefault="00057D7F" w:rsidP="00CE5506">
      <w:pPr>
        <w:pStyle w:val="Heading2"/>
        <w:rPr>
          <w:rFonts w:cs="Arial"/>
        </w:rPr>
      </w:pPr>
      <w:r w:rsidRPr="005D7EEC">
        <w:rPr>
          <w:rFonts w:cs="Arial"/>
        </w:rPr>
        <w:t xml:space="preserve">4.3 </w:t>
      </w:r>
      <w:r w:rsidR="009518E9" w:rsidRPr="005D7EEC">
        <w:rPr>
          <w:rFonts w:cs="Arial"/>
        </w:rPr>
        <w:t xml:space="preserve">Planning frameworks </w:t>
      </w:r>
    </w:p>
    <w:p w14:paraId="322453AD" w14:textId="77777777" w:rsidR="009518E9" w:rsidRPr="005D7EEC" w:rsidRDefault="009518E9" w:rsidP="009518E9">
      <w:pPr>
        <w:rPr>
          <w:rFonts w:eastAsia="Aptos" w:cs="Arial"/>
          <w:color w:val="000000" w:themeColor="text1"/>
        </w:rPr>
      </w:pPr>
      <w:r w:rsidRPr="005D7EEC">
        <w:rPr>
          <w:rFonts w:eastAsia="Aptos" w:cs="Arial"/>
          <w:color w:val="000000" w:themeColor="text1"/>
        </w:rPr>
        <w:t>The Paris new towns were planned to deconcentrate economic growth and solve urban problems including the rapid growth of low-amenity suburban sprawl by developing a polycentric spatial planning model from a highly centralised one</w:t>
      </w:r>
      <w:r w:rsidRPr="005D7EEC">
        <w:rPr>
          <w:rFonts w:eastAsia="Aptos" w:cs="Arial"/>
          <w:color w:val="000000" w:themeColor="text1"/>
          <w:vertAlign w:val="superscript"/>
        </w:rPr>
        <w:endnoteReference w:id="58"/>
      </w:r>
      <w:r w:rsidRPr="005D7EEC">
        <w:rPr>
          <w:rFonts w:eastAsia="Aptos" w:cs="Arial"/>
          <w:color w:val="000000" w:themeColor="text1"/>
        </w:rPr>
        <w:t>. Established at 25-30 kilometres distance from central Paris, the intention was to provide “new centralities with the suburbs”. These would be good places to live and work within a Paris economic agglomeration, initially using taxation and administrative advantages to support them</w:t>
      </w:r>
      <w:r w:rsidRPr="005D7EEC">
        <w:rPr>
          <w:rFonts w:eastAsia="Aptos" w:cs="Arial"/>
          <w:color w:val="000000" w:themeColor="text1"/>
          <w:vertAlign w:val="superscript"/>
        </w:rPr>
        <w:endnoteReference w:id="59"/>
      </w:r>
      <w:r w:rsidRPr="005D7EEC">
        <w:rPr>
          <w:rFonts w:eastAsia="Aptos" w:cs="Arial"/>
          <w:color w:val="000000" w:themeColor="text1"/>
        </w:rPr>
        <w:t xml:space="preserve">. Young middle class people were the dominant new town </w:t>
      </w:r>
      <w:bookmarkStart w:id="19" w:name="_Int_TniArMov"/>
      <w:r w:rsidRPr="005D7EEC">
        <w:rPr>
          <w:rFonts w:eastAsia="Aptos" w:cs="Arial"/>
          <w:color w:val="000000" w:themeColor="text1"/>
        </w:rPr>
        <w:t>pioneers</w:t>
      </w:r>
      <w:bookmarkEnd w:id="19"/>
      <w:r w:rsidRPr="005D7EEC">
        <w:rPr>
          <w:rFonts w:eastAsia="Aptos" w:cs="Arial"/>
          <w:color w:val="000000" w:themeColor="text1"/>
        </w:rPr>
        <w:t>, but social mix was an aim from the outset</w:t>
      </w:r>
      <w:r w:rsidRPr="005D7EEC">
        <w:rPr>
          <w:rFonts w:eastAsia="Aptos" w:cs="Arial"/>
          <w:color w:val="000000" w:themeColor="text1"/>
          <w:vertAlign w:val="superscript"/>
        </w:rPr>
        <w:endnoteReference w:id="60"/>
      </w:r>
      <w:r w:rsidRPr="005D7EEC">
        <w:rPr>
          <w:rFonts w:eastAsia="Aptos" w:cs="Arial"/>
          <w:color w:val="000000" w:themeColor="text1"/>
        </w:rPr>
        <w:t xml:space="preserve">. Today, the new towns have aged demographically, as have places elsewhere in France. </w:t>
      </w:r>
    </w:p>
    <w:p w14:paraId="36AADC14" w14:textId="77777777" w:rsidR="009518E9" w:rsidRPr="005D7EEC" w:rsidRDefault="009518E9" w:rsidP="009518E9">
      <w:pPr>
        <w:rPr>
          <w:rFonts w:eastAsia="Aptos" w:cs="Arial"/>
          <w:color w:val="000000" w:themeColor="text1"/>
          <w:sz w:val="19"/>
          <w:szCs w:val="19"/>
        </w:rPr>
      </w:pPr>
      <w:r w:rsidRPr="005D7EEC">
        <w:rPr>
          <w:rFonts w:eastAsia="Aptos" w:cs="Arial"/>
          <w:color w:val="000000" w:themeColor="text1"/>
        </w:rPr>
        <w:t xml:space="preserve">Although the Paris region new towns have not been as demographically or economically important as </w:t>
      </w:r>
      <w:bookmarkStart w:id="20" w:name="_Int_UNZL4iF9"/>
      <w:r w:rsidRPr="005D7EEC">
        <w:rPr>
          <w:rFonts w:eastAsia="Aptos" w:cs="Arial"/>
          <w:color w:val="000000" w:themeColor="text1"/>
        </w:rPr>
        <w:t>planned</w:t>
      </w:r>
      <w:bookmarkEnd w:id="20"/>
      <w:r w:rsidRPr="005D7EEC">
        <w:rPr>
          <w:rFonts w:eastAsia="Aptos" w:cs="Arial"/>
          <w:color w:val="000000" w:themeColor="text1"/>
        </w:rPr>
        <w:t>, they have diversified jobs and economic activity. They provide business districts, administrative centres, major company headquarters and research centres, and development around airports</w:t>
      </w:r>
      <w:r w:rsidRPr="005D7EEC">
        <w:rPr>
          <w:rFonts w:eastAsia="Aptos" w:cs="Arial"/>
          <w:color w:val="000000" w:themeColor="text1"/>
          <w:vertAlign w:val="superscript"/>
        </w:rPr>
        <w:endnoteReference w:id="61"/>
      </w:r>
      <w:r w:rsidRPr="005D7EEC">
        <w:rPr>
          <w:rFonts w:eastAsia="Aptos" w:cs="Arial"/>
          <w:color w:val="000000" w:themeColor="text1"/>
        </w:rPr>
        <w:t xml:space="preserve">. The new towns have contributed significantly to the socio-spatial organisation of Paris’s suburbs by </w:t>
      </w:r>
      <w:r w:rsidRPr="005D7EEC">
        <w:rPr>
          <w:rFonts w:eastAsia="Aptos" w:cs="Arial"/>
          <w:color w:val="000000" w:themeColor="text1"/>
        </w:rPr>
        <w:lastRenderedPageBreak/>
        <w:t>guiding sprawl into more acceptable spatial forms for their 7.35 million residents (as of 2010)</w:t>
      </w:r>
      <w:r w:rsidRPr="005D7EEC">
        <w:rPr>
          <w:rFonts w:eastAsia="Aptos" w:cs="Arial"/>
          <w:color w:val="000000" w:themeColor="text1"/>
          <w:sz w:val="19"/>
          <w:szCs w:val="19"/>
          <w:vertAlign w:val="superscript"/>
        </w:rPr>
        <w:t xml:space="preserve"> </w:t>
      </w:r>
      <w:r w:rsidRPr="005D7EEC">
        <w:rPr>
          <w:rFonts w:eastAsia="Aptos" w:cs="Arial"/>
          <w:color w:val="000000" w:themeColor="text1"/>
          <w:sz w:val="19"/>
          <w:szCs w:val="19"/>
          <w:vertAlign w:val="superscript"/>
        </w:rPr>
        <w:endnoteReference w:id="62"/>
      </w:r>
      <w:r w:rsidRPr="005D7EEC">
        <w:rPr>
          <w:rFonts w:eastAsia="Aptos" w:cs="Arial"/>
          <w:color w:val="000000" w:themeColor="text1"/>
        </w:rPr>
        <w:t>.</w:t>
      </w:r>
    </w:p>
    <w:p w14:paraId="53C9C900"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The planning of the Paris </w:t>
      </w:r>
      <w:bookmarkStart w:id="21" w:name="_Int_3xxvD0Yl"/>
      <w:r w:rsidRPr="005D7EEC">
        <w:rPr>
          <w:rFonts w:eastAsia="Aptos" w:cs="Arial"/>
          <w:color w:val="000000"/>
          <w:u w:color="000000"/>
          <w:bdr w:val="nil"/>
          <w:lang w:eastAsia="en-GB"/>
          <w14:textOutline w14:w="0" w14:cap="flat" w14:cmpd="sng" w14:algn="ctr">
            <w14:noFill/>
            <w14:prstDash w14:val="solid"/>
            <w14:bevel/>
          </w14:textOutline>
          <w14:ligatures w14:val="none"/>
        </w:rPr>
        <w:t>region</w:t>
      </w:r>
      <w:bookmarkEnd w:id="21"/>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new towns is complex but has benefited from a regional focus. This provides some integrating planning structures that help overcome policy fragmentation. Land costs have been kept down using a ‘ZAD’ (deferred development zone) system. According to James Rubenstein:</w:t>
      </w:r>
    </w:p>
    <w:p w14:paraId="7F30E7C1" w14:textId="77777777" w:rsidR="009518E9" w:rsidRPr="005D7EEC" w:rsidRDefault="009518E9" w:rsidP="009518E9">
      <w:pPr>
        <w:pBdr>
          <w:top w:val="nil"/>
          <w:left w:val="nil"/>
          <w:bottom w:val="nil"/>
          <w:right w:val="nil"/>
          <w:between w:val="nil"/>
          <w:bar w:val="nil"/>
        </w:pBdr>
        <w:ind w:left="720"/>
        <w:rPr>
          <w:rFonts w:eastAsia="Aptos" w:cs="Arial"/>
        </w:rPr>
      </w:pPr>
      <w:r w:rsidRPr="005D7EEC">
        <w:rPr>
          <w:rFonts w:eastAsia="Aptos" w:cs="Arial"/>
          <w:color w:val="000000"/>
          <w:u w:color="000000"/>
          <w:bdr w:val="nil"/>
          <w:lang w:eastAsia="en-GB"/>
          <w14:textOutline w14:w="0" w14:cap="flat" w14:cmpd="sng" w14:algn="ctr">
            <w14:noFill/>
            <w14:prstDash w14:val="solid"/>
            <w14:bevel/>
          </w14:textOutline>
          <w14:ligatures w14:val="none"/>
        </w:rPr>
        <w:t>“</w:t>
      </w:r>
      <w:r w:rsidRPr="005D7EEC">
        <w:rPr>
          <w:rFonts w:eastAsia="Aptos" w:cs="Arial"/>
        </w:rPr>
        <w:t xml:space="preserve">Zone </w:t>
      </w:r>
      <w:proofErr w:type="spellStart"/>
      <w:r w:rsidRPr="005D7EEC">
        <w:rPr>
          <w:rFonts w:eastAsia="Aptos" w:cs="Arial"/>
        </w:rPr>
        <w:t>d'Amenagement</w:t>
      </w:r>
      <w:proofErr w:type="spellEnd"/>
      <w:r w:rsidRPr="005D7EEC">
        <w:rPr>
          <w:rFonts w:eastAsia="Aptos" w:cs="Arial"/>
        </w:rPr>
        <w:t xml:space="preserve"> </w:t>
      </w:r>
      <w:proofErr w:type="spellStart"/>
      <w:r w:rsidRPr="005D7EEC">
        <w:rPr>
          <w:rFonts w:eastAsia="Aptos" w:cs="Arial"/>
        </w:rPr>
        <w:t>Différe</w:t>
      </w:r>
      <w:proofErr w:type="spellEnd"/>
      <w:r w:rsidRPr="005D7EEC">
        <w:rPr>
          <w:rFonts w:eastAsia="Aptos" w:cs="Arial"/>
        </w:rPr>
        <w:t xml:space="preserve"> (deferred development zone) [refers to] an area established by government decree within which prices of land are frozen at the level of one year prior to the decree. The ZAD technique is used to discourage speculation as well as to keep prices low for land to be acquired. It has been used quite liberally in the new towns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3"/>
      </w:r>
      <w:r w:rsidRPr="005D7EEC">
        <w:rPr>
          <w:rFonts w:eastAsia="Aptos" w:cs="Arial"/>
        </w:rPr>
        <w:t>”.</w:t>
      </w:r>
    </w:p>
    <w:p w14:paraId="1237C064"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Less positively, transport planning control over Parisian suburbs is fragmented across seven counties which manage and fund most of the transportation network</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4"/>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w:t>
      </w:r>
    </w:p>
    <w:p w14:paraId="7FDC77BE"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However, sixty percent of this region is within the </w:t>
      </w:r>
      <w:proofErr w:type="spellStart"/>
      <w:r w:rsidRPr="005D7EEC">
        <w:rPr>
          <w:rFonts w:eastAsia="Aptos" w:cs="Arial"/>
          <w:color w:val="000000"/>
          <w:u w:color="000000"/>
          <w:bdr w:val="nil"/>
          <w:lang w:eastAsia="en-GB"/>
          <w14:textOutline w14:w="0" w14:cap="flat" w14:cmpd="sng" w14:algn="ctr">
            <w14:noFill/>
            <w14:prstDash w14:val="solid"/>
            <w14:bevel/>
          </w14:textOutline>
          <w14:ligatures w14:val="none"/>
        </w:rPr>
        <w:t>Métropole</w:t>
      </w:r>
      <w:proofErr w:type="spellEnd"/>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du Metro (Metropolis of Greater Paris) which provides a strong coordinating framework. The </w:t>
      </w:r>
      <w:r w:rsidRPr="005D7EEC">
        <w:rPr>
          <w:rFonts w:eastAsia="Aptos" w:cs="Arial"/>
          <w:color w:val="000000" w:themeColor="text1"/>
        </w:rPr>
        <w:t xml:space="preserve">Metropolis of Greater Paris </w:t>
      </w:r>
      <w:r w:rsidRPr="005D7EEC">
        <w:rPr>
          <w:rFonts w:eastAsia="Aptos" w:cs="Arial"/>
          <w:color w:val="000000"/>
          <w:u w:color="000000"/>
          <w:bdr w:val="nil"/>
          <w:lang w:eastAsia="en-GB"/>
          <w14:textOutline w14:w="0" w14:cap="flat" w14:cmpd="sng" w14:algn="ctr">
            <w14:noFill/>
            <w14:prstDash w14:val="solid"/>
            <w14:bevel/>
          </w14:textOutline>
          <w14:ligatures w14:val="none"/>
        </w:rPr>
        <w:t>is:</w:t>
      </w:r>
    </w:p>
    <w:p w14:paraId="47EAB5CD" w14:textId="77777777" w:rsidR="009518E9" w:rsidRPr="005D7EEC" w:rsidRDefault="009518E9" w:rsidP="009518E9">
      <w:pPr>
        <w:pBdr>
          <w:top w:val="nil"/>
          <w:left w:val="nil"/>
          <w:bottom w:val="nil"/>
          <w:right w:val="nil"/>
          <w:between w:val="nil"/>
          <w:bar w:val="nil"/>
        </w:pBdr>
        <w:ind w:left="720" w:firstLine="30"/>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“a dense, urban inter-municipal area that includes the city of Paris, 122 municipalities from the three departments of Hauts-de-Seine, Seine-Saint-Denis and Val-de-Marne, and 7 municipalities from Essonne and Val </w:t>
      </w:r>
      <w:proofErr w:type="spellStart"/>
      <w:r w:rsidRPr="005D7EEC">
        <w:rPr>
          <w:rFonts w:eastAsia="Aptos" w:cs="Arial"/>
          <w:color w:val="000000"/>
          <w:u w:color="000000"/>
          <w:bdr w:val="nil"/>
          <w:lang w:eastAsia="en-GB"/>
          <w14:textOutline w14:w="0" w14:cap="flat" w14:cmpd="sng" w14:algn="ctr">
            <w14:noFill/>
            <w14:prstDash w14:val="solid"/>
            <w14:bevel/>
          </w14:textOutline>
          <w14:ligatures w14:val="none"/>
        </w:rPr>
        <w:t>d'Oise</w:t>
      </w:r>
      <w:proofErr w:type="spellEnd"/>
      <w:r w:rsidRPr="005D7EEC">
        <w:rPr>
          <w:rFonts w:eastAsia="Aptos" w:cs="Arial"/>
          <w:color w:val="000000"/>
          <w:u w:color="000000"/>
          <w:bdr w:val="nil"/>
          <w:lang w:eastAsia="en-GB"/>
          <w14:textOutline w14:w="0" w14:cap="flat" w14:cmpd="sng" w14:algn="ctr">
            <w14:noFill/>
            <w14:prstDash w14:val="solid"/>
            <w14:bevel/>
          </w14:textOutline>
          <w14:ligatures w14:val="none"/>
        </w:rPr>
        <w:t>”</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5"/>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w:t>
      </w:r>
    </w:p>
    <w:p w14:paraId="124D4408"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val="en-US"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Within the Paris region there are twelve intercommunal cooperative territories which have planning and development functions. Cross-territory management is an emerging trend encouraged by the French government to achieve service-provision efficiencies at scale</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6"/>
      </w:r>
      <w:r w:rsidRPr="005D7EEC">
        <w:rPr>
          <w:rFonts w:eastAsia="Aptos" w:cs="Arial"/>
          <w:color w:val="000000"/>
          <w:u w:color="000000"/>
          <w:bdr w:val="nil"/>
          <w:lang w:eastAsia="en-GB"/>
          <w14:textOutline w14:w="0" w14:cap="flat" w14:cmpd="sng" w14:algn="ctr">
            <w14:noFill/>
            <w14:prstDash w14:val="solid"/>
            <w14:bevel/>
          </w14:textOutline>
          <w14:ligatures w14:val="none"/>
        </w:rPr>
        <w:t>. French national laws meanwhile require regional and local plans to address environmental and 25 percent</w:t>
      </w:r>
      <w:r w:rsidRPr="005D7EEC" w:rsidDel="001203BD">
        <w:rPr>
          <w:rFonts w:eastAsia="Aptos" w:cs="Arial"/>
          <w:color w:val="000000"/>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local affordable housing requirements. Public bodies have additional capacities to demand affordable housing on publicly owned land parcels. </w:t>
      </w:r>
      <w:r w:rsidRPr="005D7EEC">
        <w:rPr>
          <w:rFonts w:eastAsia="Aptos" w:cs="Arial"/>
          <w:color w:val="000000"/>
          <w:u w:color="000000"/>
          <w:bdr w:val="nil"/>
          <w:lang w:val="en-US" w:eastAsia="en-GB"/>
          <w14:textOutline w14:w="0" w14:cap="flat" w14:cmpd="sng" w14:algn="ctr">
            <w14:noFill/>
            <w14:prstDash w14:val="solid"/>
            <w14:bevel/>
          </w14:textOutline>
          <w14:ligatures w14:val="none"/>
        </w:rPr>
        <w:t>This:</w:t>
      </w:r>
    </w:p>
    <w:p w14:paraId="3937901E" w14:textId="77777777" w:rsidR="009518E9" w:rsidRPr="005D7EEC" w:rsidRDefault="009518E9" w:rsidP="009518E9">
      <w:pPr>
        <w:pBdr>
          <w:top w:val="nil"/>
          <w:left w:val="nil"/>
          <w:bottom w:val="nil"/>
          <w:right w:val="nil"/>
          <w:between w:val="nil"/>
          <w:bar w:val="nil"/>
        </w:pBdr>
        <w:ind w:left="720" w:firstLine="30"/>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val="en-US" w:eastAsia="en-GB"/>
          <w14:textOutline w14:w="0" w14:cap="flat" w14:cmpd="sng" w14:algn="ctr">
            <w14:noFill/>
            <w14:prstDash w14:val="solid"/>
            <w14:bevel/>
          </w14:textOutline>
          <w14:ligatures w14:val="none"/>
        </w:rPr>
        <w:lastRenderedPageBreak/>
        <w:t>“provided Paris with a tool for regulating its growth, with the aim of limiting the demographic and physical development of the capital as well as its inner suburbs.”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7"/>
      </w:r>
    </w:p>
    <w:p w14:paraId="23A0A4FE" w14:textId="06FFCE69" w:rsidR="009518E9" w:rsidRPr="005D7EEC" w:rsidRDefault="00057D7F" w:rsidP="00CE5506">
      <w:pPr>
        <w:pStyle w:val="Heading2"/>
        <w:rPr>
          <w:rFonts w:cs="Arial"/>
        </w:rPr>
      </w:pPr>
      <w:r w:rsidRPr="005D7EEC">
        <w:rPr>
          <w:rFonts w:cs="Arial"/>
        </w:rPr>
        <w:t xml:space="preserve">4.4 </w:t>
      </w:r>
      <w:r w:rsidR="009518E9" w:rsidRPr="005D7EEC">
        <w:rPr>
          <w:rFonts w:cs="Arial"/>
        </w:rPr>
        <w:t xml:space="preserve">Governance structures </w:t>
      </w:r>
    </w:p>
    <w:p w14:paraId="64E672CC" w14:textId="77777777" w:rsidR="009518E9" w:rsidRPr="005D7EEC" w:rsidRDefault="009518E9" w:rsidP="009518E9">
      <w:pPr>
        <w:rPr>
          <w:rFonts w:cs="Arial"/>
          <w:u w:color="000000"/>
          <w:bdr w:val="nil"/>
          <w:lang w:eastAsia="en-GB"/>
        </w:rPr>
      </w:pPr>
      <w:r w:rsidRPr="005D7EEC">
        <w:rPr>
          <w:rFonts w:cs="Arial"/>
          <w:u w:color="000000"/>
          <w:bdr w:val="nil"/>
          <w:lang w:eastAsia="en-GB"/>
        </w:rPr>
        <w:t>France’s national government retains a central role in structuring planning in the Paris region, Île-de-France.   The key moment in the constitution of the Paris urban region was 1960, when a General Development and Organization Plan for the Paris Region (PADOG) was published</w:t>
      </w:r>
      <w:r w:rsidRPr="005D7EEC">
        <w:rPr>
          <w:rFonts w:cs="Arial"/>
          <w:u w:color="000000"/>
          <w:bdr w:val="nil"/>
          <w:vertAlign w:val="superscript"/>
          <w:lang w:eastAsia="en-GB"/>
        </w:rPr>
        <w:endnoteReference w:id="68"/>
      </w:r>
      <w:r w:rsidRPr="005D7EEC">
        <w:rPr>
          <w:rFonts w:cs="Arial"/>
          <w:u w:color="000000"/>
          <w:bdr w:val="nil"/>
          <w:lang w:eastAsia="en-GB"/>
        </w:rPr>
        <w:t>.  A strong focus on closely studying and understanding urban conditions and providing “a new institutional system to guide their growth”</w:t>
      </w:r>
      <w:r w:rsidRPr="005D7EEC">
        <w:rPr>
          <w:rFonts w:cs="Arial"/>
          <w:u w:color="000000"/>
          <w:bdr w:val="nil"/>
          <w:vertAlign w:val="superscript"/>
          <w:lang w:eastAsia="en-GB"/>
        </w:rPr>
        <w:endnoteReference w:id="69"/>
      </w:r>
      <w:r w:rsidRPr="005D7EEC">
        <w:rPr>
          <w:rFonts w:cs="Arial"/>
          <w:u w:color="000000"/>
          <w:bdr w:val="nil"/>
          <w:lang w:eastAsia="en-GB"/>
        </w:rPr>
        <w:t xml:space="preserve"> characterized planning for the new towns in the Île-de-France region in the 1960s and 1970s.</w:t>
      </w:r>
    </w:p>
    <w:p w14:paraId="77CEE3BB" w14:textId="77777777" w:rsidR="009518E9" w:rsidRPr="005D7EEC" w:rsidRDefault="009518E9" w:rsidP="009518E9">
      <w:pPr>
        <w:rPr>
          <w:rFonts w:cs="Arial"/>
          <w:u w:color="000000"/>
          <w:bdr w:val="nil"/>
          <w:lang w:eastAsia="en-GB"/>
        </w:rPr>
      </w:pPr>
      <w:r w:rsidRPr="005D7EEC">
        <w:rPr>
          <w:rFonts w:cs="Arial"/>
          <w:u w:color="000000"/>
          <w:bdr w:val="nil"/>
          <w:lang w:eastAsia="en-GB"/>
        </w:rPr>
        <w:t xml:space="preserve">This included a Development Corporation (the </w:t>
      </w:r>
      <w:proofErr w:type="spellStart"/>
      <w:r w:rsidRPr="005D7EEC">
        <w:rPr>
          <w:rFonts w:cs="Arial"/>
          <w:u w:color="000000"/>
          <w:bdr w:val="nil"/>
          <w:lang w:eastAsia="en-GB"/>
        </w:rPr>
        <w:t>Etablissement</w:t>
      </w:r>
      <w:proofErr w:type="spellEnd"/>
      <w:r w:rsidRPr="005D7EEC">
        <w:rPr>
          <w:rFonts w:cs="Arial"/>
          <w:u w:color="000000"/>
          <w:bdr w:val="nil"/>
          <w:lang w:eastAsia="en-GB"/>
        </w:rPr>
        <w:t xml:space="preserve"> Public </w:t>
      </w:r>
      <w:proofErr w:type="spellStart"/>
      <w:r w:rsidRPr="005D7EEC">
        <w:rPr>
          <w:rFonts w:cs="Arial"/>
          <w:u w:color="000000"/>
          <w:bdr w:val="nil"/>
          <w:lang w:eastAsia="en-GB"/>
        </w:rPr>
        <w:t>d’Aménagement</w:t>
      </w:r>
      <w:proofErr w:type="spellEnd"/>
      <w:r w:rsidRPr="005D7EEC">
        <w:rPr>
          <w:rFonts w:cs="Arial"/>
          <w:u w:color="000000"/>
          <w:bdr w:val="nil"/>
          <w:lang w:eastAsia="en-GB"/>
        </w:rPr>
        <w:t>) created to manage the new towns’ development</w:t>
      </w:r>
      <w:r w:rsidRPr="005D7EEC">
        <w:rPr>
          <w:rFonts w:cs="Arial"/>
          <w:u w:color="000000"/>
          <w:bdr w:val="nil"/>
          <w:vertAlign w:val="superscript"/>
          <w:lang w:eastAsia="en-GB"/>
        </w:rPr>
        <w:endnoteReference w:id="70"/>
      </w:r>
      <w:r w:rsidRPr="005D7EEC">
        <w:rPr>
          <w:rFonts w:cs="Arial"/>
          <w:u w:color="000000"/>
          <w:bdr w:val="nil"/>
          <w:lang w:eastAsia="en-GB"/>
        </w:rPr>
        <w:t>. A delivery vehicle called the syndicate for community development (</w:t>
      </w:r>
      <w:proofErr w:type="spellStart"/>
      <w:r w:rsidRPr="005D7EEC">
        <w:rPr>
          <w:rFonts w:cs="Arial"/>
          <w:u w:color="000000"/>
          <w:bdr w:val="nil"/>
          <w:lang w:eastAsia="en-GB"/>
        </w:rPr>
        <w:t>Syndicat</w:t>
      </w:r>
      <w:proofErr w:type="spellEnd"/>
      <w:r w:rsidRPr="005D7EEC">
        <w:rPr>
          <w:rFonts w:cs="Arial"/>
          <w:u w:color="000000"/>
          <w:bdr w:val="nil"/>
          <w:lang w:eastAsia="en-GB"/>
        </w:rPr>
        <w:t xml:space="preserve"> Communautaire </w:t>
      </w:r>
      <w:proofErr w:type="spellStart"/>
      <w:r w:rsidRPr="005D7EEC">
        <w:rPr>
          <w:rFonts w:cs="Arial"/>
          <w:u w:color="000000"/>
          <w:bdr w:val="nil"/>
          <w:lang w:eastAsia="en-GB"/>
        </w:rPr>
        <w:t>d'Amenagement</w:t>
      </w:r>
      <w:proofErr w:type="spellEnd"/>
      <w:r w:rsidRPr="005D7EEC">
        <w:rPr>
          <w:rFonts w:cs="Arial"/>
          <w:u w:color="000000"/>
          <w:bdr w:val="nil"/>
          <w:lang w:eastAsia="en-GB"/>
        </w:rPr>
        <w:t>), was instituted which amalgamated governance of local governments operating within the territory of each of the new towns</w:t>
      </w:r>
      <w:r w:rsidRPr="005D7EEC">
        <w:rPr>
          <w:rFonts w:cs="Arial"/>
          <w:u w:color="000000"/>
          <w:bdr w:val="nil"/>
          <w:vertAlign w:val="superscript"/>
          <w:lang w:eastAsia="en-GB"/>
        </w:rPr>
        <w:endnoteReference w:id="71"/>
      </w:r>
      <w:r w:rsidRPr="005D7EEC">
        <w:rPr>
          <w:rFonts w:cs="Arial"/>
          <w:u w:color="000000"/>
          <w:bdr w:val="nil"/>
          <w:lang w:eastAsia="en-GB"/>
        </w:rPr>
        <w:t>.</w:t>
      </w:r>
    </w:p>
    <w:p w14:paraId="57038527"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After some devolution locally in the 1980s, the more recent establishment of the Greater Paris Metropolis in 2016  as a spatial, governance and planning entity has seen some recentralisation of power over planning from local authorities to the regional level</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2"/>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This makes </w:t>
      </w:r>
      <w:r w:rsidRPr="005D7EEC">
        <w:rPr>
          <w:rFonts w:eastAsia="Aptos" w:cs="Arial"/>
          <w:b/>
          <w:bCs/>
          <w:color w:val="000000"/>
          <w:u w:color="000000"/>
          <w:bdr w:val="nil"/>
          <w:lang w:eastAsia="en-GB"/>
          <w14:textOutline w14:w="0" w14:cap="flat" w14:cmpd="sng" w14:algn="ctr">
            <w14:noFill/>
            <w14:prstDash w14:val="solid"/>
            <w14:bevel/>
          </w14:textOutline>
          <w14:ligatures w14:val="none"/>
        </w:rPr>
        <w:t>different scales of planning</w:t>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w:t>
      </w:r>
      <w:r w:rsidRPr="005D7EEC">
        <w:rPr>
          <w:rFonts w:eastAsia="Aptos" w:cs="Arial"/>
          <w:b/>
          <w:bCs/>
          <w:color w:val="000000"/>
          <w:u w:color="000000"/>
          <w:bdr w:val="nil"/>
          <w:lang w:eastAsia="en-GB"/>
          <w14:textOutline w14:w="0" w14:cap="flat" w14:cmpd="sng" w14:algn="ctr">
            <w14:noFill/>
            <w14:prstDash w14:val="solid"/>
            <w14:bevel/>
          </w14:textOutline>
          <w14:ligatures w14:val="none"/>
        </w:rPr>
        <w:t>join up:</w:t>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“Policies in the Île-de-France regional plan must be incorporated into municipal plans and plans developed by inter-communal institutions.”</w:t>
      </w:r>
    </w:p>
    <w:p w14:paraId="3D180BB3"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rPr>
        <w:t xml:space="preserve">It is also noted </w:t>
      </w:r>
      <w:r w:rsidRPr="005D7EEC">
        <w:rPr>
          <w:rFonts w:eastAsia="Aptos" w:cs="Arial"/>
          <w:color w:val="000000"/>
          <w:u w:color="000000"/>
          <w:bdr w:val="nil"/>
          <w:lang w:val="en-US" w:eastAsia="en-GB"/>
          <w14:textOutline w14:w="0" w14:cap="flat" w14:cmpd="sng" w14:algn="ctr">
            <w14:noFill/>
            <w14:prstDash w14:val="solid"/>
            <w14:bevel/>
          </w14:textOutline>
          <w14:ligatures w14:val="none"/>
        </w:rPr>
        <w:t>“local plans incorporate zoning and thus directly link the policy goals of the national and regional governments to on-the-ground development requirements”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3"/>
      </w:r>
      <w:r w:rsidRPr="005D7EEC">
        <w:rPr>
          <w:rFonts w:eastAsia="Aptos" w:cs="Arial"/>
          <w:color w:val="000000"/>
          <w:u w:color="000000"/>
          <w:bdr w:val="nil"/>
          <w:lang w:eastAsia="en-GB"/>
          <w14:textOutline w14:w="0" w14:cap="flat" w14:cmpd="sng" w14:algn="ctr">
            <w14:noFill/>
            <w14:prstDash w14:val="solid"/>
            <w14:bevel/>
          </w14:textOutline>
          <w14:ligatures w14:val="none"/>
        </w:rPr>
        <w:t>. Part of the structure of Metropole du Grand Paris is also a mandate to meet regional level policy goals for town planning including for the new towns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4"/>
      </w:r>
      <w:r w:rsidRPr="005D7EEC">
        <w:rPr>
          <w:rFonts w:eastAsia="Aptos" w:cs="Arial"/>
          <w:color w:val="000000"/>
          <w:u w:color="000000"/>
          <w:bdr w:val="nil"/>
          <w:lang w:eastAsia="en-GB"/>
          <w14:textOutline w14:w="0" w14:cap="flat" w14:cmpd="sng" w14:algn="ctr">
            <w14:noFill/>
            <w14:prstDash w14:val="solid"/>
            <w14:bevel/>
          </w14:textOutline>
          <w14:ligatures w14:val="none"/>
        </w:rPr>
        <w:t>.</w:t>
      </w:r>
    </w:p>
    <w:p w14:paraId="5E85A665" w14:textId="575C004D" w:rsidR="009518E9" w:rsidRPr="005D7EEC" w:rsidRDefault="00057D7F" w:rsidP="00CE5506">
      <w:pPr>
        <w:pStyle w:val="Heading2"/>
        <w:rPr>
          <w:rFonts w:cs="Arial"/>
        </w:rPr>
      </w:pPr>
      <w:r w:rsidRPr="005D7EEC">
        <w:rPr>
          <w:rFonts w:cs="Arial"/>
        </w:rPr>
        <w:t xml:space="preserve">4.5 </w:t>
      </w:r>
      <w:r w:rsidR="009518E9" w:rsidRPr="005D7EEC">
        <w:rPr>
          <w:rFonts w:cs="Arial"/>
        </w:rPr>
        <w:t xml:space="preserve">Thematic discussion </w:t>
      </w:r>
    </w:p>
    <w:p w14:paraId="484D5EC3" w14:textId="77777777" w:rsidR="009518E9" w:rsidRPr="005D7EEC" w:rsidRDefault="009518E9" w:rsidP="009518E9">
      <w:pPr>
        <w:pStyle w:val="Heading3"/>
        <w:rPr>
          <w:rFonts w:ascii="Arial" w:hAnsi="Arial" w:cs="Arial"/>
        </w:rPr>
      </w:pPr>
      <w:r w:rsidRPr="005D7EEC">
        <w:rPr>
          <w:rFonts w:ascii="Arial" w:hAnsi="Arial" w:cs="Arial"/>
        </w:rPr>
        <w:lastRenderedPageBreak/>
        <w:t>Consistent vision, governance and planning policy focus</w:t>
      </w:r>
    </w:p>
    <w:p w14:paraId="5B393229" w14:textId="77777777" w:rsidR="009518E9" w:rsidRPr="005D7EEC" w:rsidRDefault="009518E9" w:rsidP="009518E9">
      <w:pPr>
        <w:rPr>
          <w:rFonts w:cs="Arial"/>
        </w:rPr>
      </w:pPr>
      <w:r w:rsidRPr="005D7EEC">
        <w:rPr>
          <w:rFonts w:cs="Arial"/>
        </w:rPr>
        <w:t xml:space="preserve">Positive elements include consistent national strategic and policy focus that emphasises cooperation at the regional scale. Along with financing instruments this has helped support the economic viability of new towns. The </w:t>
      </w:r>
      <w:r w:rsidRPr="005D7EEC">
        <w:rPr>
          <w:rFonts w:eastAsia="Aptos" w:cs="Arial"/>
          <w:color w:val="000000" w:themeColor="text1"/>
        </w:rPr>
        <w:t xml:space="preserve">Metropolis of Greater Paris is critical </w:t>
      </w:r>
      <w:r w:rsidRPr="005D7EEC">
        <w:rPr>
          <w:rFonts w:cs="Arial"/>
        </w:rPr>
        <w:t xml:space="preserve">as a regional scale governance, strategic planning, policy and structure and financing vehicle in the area around Paris. Treating new towns collectively as a kind of linked regional settlement form can offer an additional economic centre of gravity to a dominant central city. This can help offset the problems caused by a central city’s overheated economy and housing </w:t>
      </w:r>
      <w:bookmarkStart w:id="22" w:name="_Int_vUKQj8xj"/>
      <w:r w:rsidRPr="005D7EEC">
        <w:rPr>
          <w:rFonts w:cs="Arial"/>
        </w:rPr>
        <w:t>market</w:t>
      </w:r>
      <w:bookmarkEnd w:id="22"/>
      <w:r w:rsidRPr="005D7EEC">
        <w:rPr>
          <w:rFonts w:cs="Arial"/>
        </w:rPr>
        <w:t>. It can also help speed up the delivery of affordable housing and jobs and make liveable places.</w:t>
      </w:r>
    </w:p>
    <w:p w14:paraId="3C462822" w14:textId="27230A34" w:rsidR="009518E9" w:rsidRPr="005D7EEC" w:rsidRDefault="00057D7F" w:rsidP="00CE5506">
      <w:pPr>
        <w:pStyle w:val="Heading2"/>
        <w:rPr>
          <w:rFonts w:cs="Arial"/>
        </w:rPr>
      </w:pPr>
      <w:r w:rsidRPr="005D7EEC">
        <w:rPr>
          <w:rFonts w:cs="Arial"/>
        </w:rPr>
        <w:t xml:space="preserve">4.6 </w:t>
      </w:r>
      <w:r w:rsidR="009518E9" w:rsidRPr="005D7EEC">
        <w:rPr>
          <w:rFonts w:cs="Arial"/>
        </w:rPr>
        <w:t>Land use and transport planning policy to support affordability and accessibility</w:t>
      </w:r>
    </w:p>
    <w:p w14:paraId="6A7E8700" w14:textId="77777777" w:rsidR="009518E9" w:rsidRPr="005D7EEC" w:rsidRDefault="009518E9" w:rsidP="009518E9">
      <w:pPr>
        <w:rPr>
          <w:rFonts w:cs="Arial"/>
          <w:color w:val="000000" w:themeColor="text1"/>
        </w:rPr>
      </w:pPr>
      <w:r w:rsidRPr="005D7EEC">
        <w:rPr>
          <w:rFonts w:cs="Arial"/>
        </w:rPr>
        <w:t>Despite a complex governance and planning context a range of planning instruments have supported the Paris new towns. These include the ‘ZAD’ (deferred development zone) system and 25 percent local affordable housing requirements which have helped lower new town housing costs by keeping land costs low and a percentage of housing affordable. Meanwhile, t</w:t>
      </w:r>
      <w:r w:rsidRPr="005D7EEC">
        <w:rPr>
          <w:rFonts w:cs="Arial"/>
          <w:color w:val="000000" w:themeColor="text1"/>
        </w:rPr>
        <w:t xml:space="preserve">ransport infrastructure that spatially links the new towns has helped underpin the around 1.5 million new jobs that were created in the Paris region between 1968 and </w:t>
      </w:r>
      <w:bookmarkStart w:id="23" w:name="_Int_azJwkokL"/>
      <w:r w:rsidRPr="005D7EEC">
        <w:rPr>
          <w:rFonts w:cs="Arial"/>
          <w:color w:val="000000" w:themeColor="text1"/>
        </w:rPr>
        <w:t>2018</w:t>
      </w:r>
      <w:bookmarkEnd w:id="23"/>
      <w:r w:rsidRPr="005D7EEC">
        <w:rPr>
          <w:rFonts w:cs="Arial"/>
          <w:color w:val="000000" w:themeColor="text1"/>
          <w:vertAlign w:val="superscript"/>
        </w:rPr>
        <w:endnoteReference w:id="75"/>
      </w:r>
      <w:r w:rsidRPr="005D7EEC">
        <w:rPr>
          <w:rFonts w:cs="Arial"/>
          <w:color w:val="000000" w:themeColor="text1"/>
        </w:rPr>
        <w:t xml:space="preserve">. The RER and </w:t>
      </w:r>
      <w:proofErr w:type="spellStart"/>
      <w:r w:rsidRPr="005D7EEC">
        <w:rPr>
          <w:rFonts w:cs="Arial"/>
          <w:color w:val="000000" w:themeColor="text1"/>
        </w:rPr>
        <w:t>Transilien</w:t>
      </w:r>
      <w:proofErr w:type="spellEnd"/>
      <w:r w:rsidRPr="005D7EEC">
        <w:rPr>
          <w:rFonts w:cs="Arial"/>
          <w:color w:val="000000" w:themeColor="text1"/>
        </w:rPr>
        <w:t xml:space="preserve"> rail/tram network have been instrumental in creating good links to and between some new towns, and created subcentre economic locations within them</w:t>
      </w:r>
      <w:r w:rsidRPr="005D7EEC">
        <w:rPr>
          <w:rFonts w:cs="Arial"/>
          <w:color w:val="000000" w:themeColor="text1"/>
          <w:vertAlign w:val="superscript"/>
        </w:rPr>
        <w:endnoteReference w:id="76"/>
      </w:r>
      <w:r w:rsidRPr="005D7EEC">
        <w:rPr>
          <w:rFonts w:cs="Arial"/>
          <w:color w:val="000000" w:themeColor="text1"/>
        </w:rPr>
        <w:t xml:space="preserve">. </w:t>
      </w:r>
    </w:p>
    <w:p w14:paraId="130E055C" w14:textId="77777777" w:rsidR="009518E9" w:rsidRPr="005D7EEC" w:rsidRDefault="009518E9" w:rsidP="009518E9">
      <w:pPr>
        <w:rPr>
          <w:rFonts w:cs="Arial"/>
        </w:rPr>
      </w:pPr>
      <w:r w:rsidRPr="005D7EEC">
        <w:rPr>
          <w:rFonts w:cs="Arial"/>
          <w:color w:val="000000" w:themeColor="text1"/>
        </w:rPr>
        <w:t>In the Paris region new towns, targeted regional transport development has been pursued in combination with the programme of decentralising, polycentric urban growth. Proximity to RER stations has increased economic activity – primarily of urban jobs</w:t>
      </w:r>
      <w:r w:rsidRPr="005D7EEC">
        <w:rPr>
          <w:rFonts w:cs="Arial"/>
          <w:color w:val="000000" w:themeColor="text1"/>
          <w:vertAlign w:val="superscript"/>
        </w:rPr>
        <w:endnoteReference w:id="77"/>
      </w:r>
      <w:r w:rsidRPr="005D7EEC">
        <w:rPr>
          <w:rFonts w:cs="Arial"/>
          <w:color w:val="000000" w:themeColor="text1"/>
        </w:rPr>
        <w:t>. Transport oriented development nodes have also been developed through area development contracts (‘</w:t>
      </w:r>
      <w:proofErr w:type="spellStart"/>
      <w:r w:rsidRPr="005D7EEC">
        <w:rPr>
          <w:rFonts w:cs="Arial"/>
          <w:color w:val="000000" w:themeColor="text1"/>
        </w:rPr>
        <w:t>Contrats</w:t>
      </w:r>
      <w:proofErr w:type="spellEnd"/>
      <w:r w:rsidRPr="005D7EEC">
        <w:rPr>
          <w:rFonts w:cs="Arial"/>
          <w:color w:val="000000" w:themeColor="text1"/>
        </w:rPr>
        <w:t xml:space="preserve"> de </w:t>
      </w:r>
      <w:proofErr w:type="spellStart"/>
      <w:r w:rsidRPr="005D7EEC">
        <w:rPr>
          <w:rFonts w:cs="Arial"/>
          <w:color w:val="000000" w:themeColor="text1"/>
        </w:rPr>
        <w:t>développement</w:t>
      </w:r>
      <w:proofErr w:type="spellEnd"/>
      <w:r w:rsidRPr="005D7EEC">
        <w:rPr>
          <w:rFonts w:cs="Arial"/>
          <w:color w:val="000000" w:themeColor="text1"/>
        </w:rPr>
        <w:t xml:space="preserve"> territorial’). These “set targets for housing construction, economic development and public facilities in areas around the future automatic metro stations”</w:t>
      </w:r>
      <w:r w:rsidRPr="005D7EEC">
        <w:rPr>
          <w:rFonts w:cs="Arial"/>
          <w:color w:val="000000" w:themeColor="text1"/>
          <w:vertAlign w:val="superscript"/>
        </w:rPr>
        <w:t xml:space="preserve"> </w:t>
      </w:r>
      <w:r w:rsidRPr="005D7EEC">
        <w:rPr>
          <w:rFonts w:cs="Arial"/>
          <w:color w:val="000000" w:themeColor="text1"/>
          <w:vertAlign w:val="superscript"/>
        </w:rPr>
        <w:endnoteReference w:id="78"/>
      </w:r>
      <w:r w:rsidRPr="005D7EEC">
        <w:rPr>
          <w:rFonts w:cs="Arial"/>
          <w:color w:val="000000" w:themeColor="text1"/>
        </w:rPr>
        <w:t>.</w:t>
      </w:r>
    </w:p>
    <w:p w14:paraId="1BF065A7" w14:textId="5675ED2C" w:rsidR="009518E9" w:rsidRPr="005D7EEC" w:rsidRDefault="00057D7F" w:rsidP="00CE5506">
      <w:pPr>
        <w:pStyle w:val="Heading2"/>
        <w:rPr>
          <w:rFonts w:cs="Arial"/>
        </w:rPr>
      </w:pPr>
      <w:r w:rsidRPr="005D7EEC">
        <w:rPr>
          <w:rFonts w:cs="Arial"/>
        </w:rPr>
        <w:lastRenderedPageBreak/>
        <w:t xml:space="preserve">4.7 </w:t>
      </w:r>
      <w:r w:rsidR="009518E9" w:rsidRPr="005D7EEC">
        <w:rPr>
          <w:rFonts w:cs="Arial"/>
        </w:rPr>
        <w:t>Learning from earlier garden towns, garden suburbs and 20</w:t>
      </w:r>
      <w:r w:rsidR="009518E9" w:rsidRPr="005D7EEC">
        <w:rPr>
          <w:rFonts w:cs="Arial"/>
          <w:vertAlign w:val="superscript"/>
        </w:rPr>
        <w:t>th</w:t>
      </w:r>
      <w:r w:rsidR="009518E9" w:rsidRPr="005D7EEC">
        <w:rPr>
          <w:rFonts w:cs="Arial"/>
        </w:rPr>
        <w:t xml:space="preserve"> century place models</w:t>
      </w:r>
    </w:p>
    <w:p w14:paraId="7078793A"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This was not the first time new towns were developed around Paris. A 1920s round of French garden towns and suburbs in the Paris region, such as Suresnes on the western edge of Paris (designed by Henri Sellier), are still highly attractive living environments. These garden cities are an important context for the post war French new towns because the planners for the 1960s new towns drew a number of elements from them. These included success in attracting people and jobs, a context for public art and incorporating the natural landscape</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79"/>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Yet in placemaking terms, while planners originally ‘tried to take into account their nature resources in the urban plan’</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80"/>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they included few other garden city model ‘place’ elements.</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p>
    <w:p w14:paraId="58CFA3CC"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Today the Paris region new towns are looking in more detail at the garden city model’s relevance to making liveable places.</w:t>
      </w:r>
      <w:r w:rsidRPr="005D7EEC" w:rsidDel="00A1659F">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The 1960s new towns were explicitly organised to be very different to the ‘grands ensembles’ (large scale) high rise housing estates that came before them</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81"/>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Instead, they focused on “high modernist” experiments with housing design, often with very large scale town centre architecture, such as </w:t>
      </w:r>
      <w:r w:rsidRPr="005D7EEC">
        <w:rPr>
          <w:rFonts w:eastAsia="Aptos" w:cs="Arial"/>
          <w:color w:val="000000" w:themeColor="text1"/>
        </w:rPr>
        <w:t xml:space="preserve">monumental residential architecture by Ricardo Bofill, and Les </w:t>
      </w:r>
      <w:proofErr w:type="spellStart"/>
      <w:r w:rsidRPr="005D7EEC">
        <w:rPr>
          <w:rFonts w:eastAsia="Aptos" w:cs="Arial"/>
          <w:color w:val="000000" w:themeColor="text1"/>
        </w:rPr>
        <w:t>Ar</w:t>
      </w:r>
      <w:proofErr w:type="spellEnd"/>
      <w:r w:rsidRPr="005D7EEC">
        <w:rPr>
          <w:rFonts w:eastAsia="Aptos" w:cs="Arial"/>
          <w:color w:val="000000" w:themeColor="text1"/>
          <w:lang w:val="it-IT"/>
        </w:rPr>
        <w:t>è</w:t>
      </w:r>
      <w:proofErr w:type="spellStart"/>
      <w:r w:rsidRPr="005D7EEC">
        <w:rPr>
          <w:rFonts w:eastAsia="Aptos" w:cs="Arial"/>
          <w:color w:val="000000" w:themeColor="text1"/>
        </w:rPr>
        <w:t>nes</w:t>
      </w:r>
      <w:proofErr w:type="spellEnd"/>
      <w:r w:rsidRPr="005D7EEC">
        <w:rPr>
          <w:rFonts w:eastAsia="Aptos" w:cs="Arial"/>
          <w:color w:val="000000" w:themeColor="text1"/>
        </w:rPr>
        <w:t xml:space="preserve"> de Picasso residential buildings, designed by Manuel N</w:t>
      </w:r>
      <w:proofErr w:type="spellStart"/>
      <w:r w:rsidRPr="005D7EEC">
        <w:rPr>
          <w:rFonts w:eastAsia="Aptos" w:cs="Arial"/>
          <w:color w:val="000000" w:themeColor="text1"/>
          <w:lang w:val="es-ES"/>
        </w:rPr>
        <w:t>úñ</w:t>
      </w:r>
      <w:r w:rsidRPr="005D7EEC">
        <w:rPr>
          <w:rFonts w:eastAsia="Aptos" w:cs="Arial"/>
          <w:color w:val="000000" w:themeColor="text1"/>
        </w:rPr>
        <w:t>ez</w:t>
      </w:r>
      <w:proofErr w:type="spellEnd"/>
      <w:r w:rsidRPr="005D7EEC">
        <w:rPr>
          <w:rFonts w:eastAsia="Aptos" w:cs="Arial"/>
          <w:color w:val="000000" w:themeColor="text1"/>
        </w:rPr>
        <w:t xml:space="preserve"> </w:t>
      </w:r>
      <w:proofErr w:type="spellStart"/>
      <w:r w:rsidRPr="005D7EEC">
        <w:rPr>
          <w:rFonts w:eastAsia="Aptos" w:cs="Arial"/>
          <w:color w:val="000000" w:themeColor="text1"/>
        </w:rPr>
        <w:t>Yanowsky</w:t>
      </w:r>
      <w:proofErr w:type="spellEnd"/>
      <w:r w:rsidRPr="005D7EEC">
        <w:rPr>
          <w:rFonts w:eastAsia="Aptos" w:cs="Arial"/>
          <w:color w:val="000000" w:themeColor="text1"/>
        </w:rPr>
        <w:t xml:space="preserve"> in the Noisy-le-Grand residential area in Evry (known as ‘Les </w:t>
      </w:r>
      <w:proofErr w:type="spellStart"/>
      <w:r w:rsidRPr="005D7EEC">
        <w:rPr>
          <w:rFonts w:eastAsia="Aptos" w:cs="Arial"/>
          <w:color w:val="000000" w:themeColor="text1"/>
        </w:rPr>
        <w:t>Camemberts’</w:t>
      </w:r>
      <w:proofErr w:type="spellEnd"/>
      <w:r w:rsidRPr="005D7EEC">
        <w:rPr>
          <w:rFonts w:eastAsia="Aptos" w:cs="Arial"/>
          <w:color w:val="000000" w:themeColor="text1"/>
        </w:rPr>
        <w:t xml:space="preserve"> and ‘Les </w:t>
      </w:r>
      <w:proofErr w:type="spellStart"/>
      <w:r w:rsidRPr="005D7EEC">
        <w:rPr>
          <w:rFonts w:eastAsia="Aptos" w:cs="Arial"/>
          <w:color w:val="000000" w:themeColor="text1"/>
        </w:rPr>
        <w:t>Pyramides</w:t>
      </w:r>
      <w:proofErr w:type="spellEnd"/>
      <w:r w:rsidRPr="005D7EEC">
        <w:rPr>
          <w:rFonts w:eastAsia="Aptos" w:cs="Arial"/>
          <w:color w:val="000000" w:themeColor="text1"/>
        </w:rPr>
        <w:t>’ because of their unusual shapes).</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They also incorporated pieces of ‘land art’, use of modern materials and experimental system building techniques, such as </w:t>
      </w:r>
      <w:r w:rsidRPr="005D7EEC">
        <w:rPr>
          <w:rFonts w:eastAsia="Aptos" w:cs="Arial"/>
          <w:color w:val="000000" w:themeColor="text1"/>
        </w:rPr>
        <w:t xml:space="preserve">by Dani </w:t>
      </w:r>
      <w:proofErr w:type="spellStart"/>
      <w:r w:rsidRPr="005D7EEC">
        <w:rPr>
          <w:rFonts w:eastAsia="Aptos" w:cs="Arial"/>
          <w:color w:val="000000" w:themeColor="text1"/>
        </w:rPr>
        <w:t>Karavan</w:t>
      </w:r>
      <w:proofErr w:type="spellEnd"/>
      <w:r w:rsidRPr="005D7EEC">
        <w:rPr>
          <w:rFonts w:eastAsia="Aptos" w:cs="Arial"/>
          <w:color w:val="000000" w:themeColor="text1"/>
        </w:rPr>
        <w:t xml:space="preserve"> at Cergy-</w:t>
      </w:r>
      <w:proofErr w:type="spellStart"/>
      <w:r w:rsidRPr="005D7EEC">
        <w:rPr>
          <w:rFonts w:eastAsia="Aptos" w:cs="Arial"/>
          <w:color w:val="000000" w:themeColor="text1"/>
        </w:rPr>
        <w:t>Pontoise</w:t>
      </w:r>
      <w:proofErr w:type="spellEnd"/>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82"/>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p>
    <w:p w14:paraId="30CBC185"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Such experimentation </w:t>
      </w:r>
      <w:bookmarkStart w:id="24" w:name="_Int_2bP85Lx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has</w:t>
      </w:r>
      <w:bookmarkEnd w:id="24"/>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proved expensive in terms of social and environmental costs, spatial impacts and physical maintenance problems</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83"/>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It is increasingly being retrofitted at </w:t>
      </w:r>
      <w:bookmarkStart w:id="25" w:name="_Int_oQ9F7iF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more</w:t>
      </w:r>
      <w:bookmarkEnd w:id="25"/>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human scale following traditional placemaking approaches. The places now being made or remade in the new towns are closer in design terms to the 1920s garden suburbs that came before. This suggests successful placemaking models should not be ignored even when they don’t fit the dominant architectural ideas of the time.</w:t>
      </w:r>
    </w:p>
    <w:p w14:paraId="13CBE130"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p>
    <w:p w14:paraId="0F8AA810" w14:textId="77777777" w:rsidR="009518E9" w:rsidRPr="005D7EEC" w:rsidRDefault="009518E9" w:rsidP="009518E9">
      <w:pPr>
        <w:rPr>
          <w:rFonts w:eastAsia="Aptos" w:cs="Arial"/>
          <w:color w:val="000000" w:themeColor="text1"/>
        </w:rPr>
      </w:pPr>
      <w:r w:rsidRPr="005D7EEC">
        <w:rPr>
          <w:rFonts w:cs="Arial"/>
          <w:noProof/>
        </w:rPr>
        <w:lastRenderedPageBreak/>
        <w:drawing>
          <wp:inline distT="0" distB="0" distL="0" distR="0" wp14:anchorId="0F952E30" wp14:editId="1312D33B">
            <wp:extent cx="5191125" cy="3467100"/>
            <wp:effectExtent l="0" t="0" r="0" b="0"/>
            <wp:docPr id="1117995367" name="drawing" descr="Photograph of a slender, pale, stone rectilinear monument reaching up around 50 meters, situated within a distinctive crescent or circle of 4-storey neo-classical buildings, with thick, classical pillars, and above a long, windowed-frieze. Between are thickly-fenestrated glass windows. A gap allows a path through the curved building and to the plaza where a small number of pedestrian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95367" name="drawing" descr="Photograph of a slender, pale, stone rectilinear monument reaching up around 50 meters, situated within a distinctive crescent or circle of 4-storey neo-classical buildings, with thick, classical pillars, and above a long, windowed-frieze. Between are thickly-fenestrated glass windows. A gap allows a path through the curved building and to the plaza where a small number of pedestrians walk."/>
                    <pic:cNvPicPr/>
                  </pic:nvPicPr>
                  <pic:blipFill>
                    <a:blip r:embed="rId34">
                      <a:extLst>
                        <a:ext uri="{28A0092B-C50C-407E-A947-70E740481C1C}">
                          <a14:useLocalDpi xmlns:a14="http://schemas.microsoft.com/office/drawing/2010/main"/>
                        </a:ext>
                      </a:extLst>
                    </a:blip>
                    <a:stretch>
                      <a:fillRect/>
                    </a:stretch>
                  </pic:blipFill>
                  <pic:spPr>
                    <a:xfrm>
                      <a:off x="0" y="0"/>
                      <a:ext cx="5191125" cy="3467100"/>
                    </a:xfrm>
                    <a:prstGeom prst="rect">
                      <a:avLst/>
                    </a:prstGeom>
                  </pic:spPr>
                </pic:pic>
              </a:graphicData>
            </a:graphic>
          </wp:inline>
        </w:drawing>
      </w:r>
    </w:p>
    <w:p w14:paraId="555E1513" w14:textId="77777777" w:rsidR="009518E9" w:rsidRPr="005D7EEC" w:rsidRDefault="009518E9" w:rsidP="009518E9">
      <w:pPr>
        <w:rPr>
          <w:rFonts w:cs="Arial"/>
          <w:i/>
          <w:u w:color="000000"/>
          <w:bdr w:val="nil"/>
          <w:lang w:eastAsia="en-GB"/>
        </w:rPr>
      </w:pPr>
      <w:r w:rsidRPr="005D7EEC">
        <w:rPr>
          <w:rFonts w:cs="Arial"/>
          <w:i/>
          <w:u w:color="000000"/>
          <w:bdr w:val="nil"/>
          <w:lang w:eastAsia="en-GB"/>
        </w:rPr>
        <w:t>Figure 3.3: Housing and public art designed by Ricardo Bofill, Cergy-</w:t>
      </w:r>
      <w:proofErr w:type="spellStart"/>
      <w:r w:rsidRPr="005D7EEC">
        <w:rPr>
          <w:rFonts w:cs="Arial"/>
          <w:i/>
          <w:u w:color="000000"/>
          <w:bdr w:val="nil"/>
          <w:lang w:eastAsia="en-GB"/>
        </w:rPr>
        <w:t>Pontoise</w:t>
      </w:r>
      <w:proofErr w:type="spellEnd"/>
      <w:r w:rsidRPr="005D7EEC">
        <w:rPr>
          <w:rFonts w:cs="Arial"/>
          <w:i/>
          <w:u w:color="000000"/>
          <w:bdr w:val="nil"/>
          <w:lang w:eastAsia="en-GB"/>
        </w:rPr>
        <w:t xml:space="preserve"> centre: Source: Photograph by Susan Parham, 2025</w:t>
      </w:r>
    </w:p>
    <w:p w14:paraId="596CA0FE" w14:textId="2A7A1B3C" w:rsidR="009518E9" w:rsidRPr="005D7EEC" w:rsidRDefault="00057D7F" w:rsidP="00CE5506">
      <w:pPr>
        <w:pStyle w:val="Heading2"/>
        <w:rPr>
          <w:rFonts w:cs="Arial"/>
        </w:rPr>
      </w:pPr>
      <w:r w:rsidRPr="005D7EEC">
        <w:rPr>
          <w:rFonts w:cs="Arial"/>
        </w:rPr>
        <w:t xml:space="preserve">4.8 </w:t>
      </w:r>
      <w:r w:rsidR="009518E9" w:rsidRPr="005D7EEC">
        <w:rPr>
          <w:rFonts w:cs="Arial"/>
        </w:rPr>
        <w:t>Learning from the new towns’ placemaking experience over time</w:t>
      </w:r>
    </w:p>
    <w:p w14:paraId="3769210B" w14:textId="77777777" w:rsidR="009518E9" w:rsidRPr="005D7EEC" w:rsidRDefault="009518E9" w:rsidP="009518E9">
      <w:pPr>
        <w:rPr>
          <w:rFonts w:cs="Arial"/>
          <w:u w:color="000000"/>
          <w:bdr w:val="nil"/>
          <w:lang w:eastAsia="en-GB"/>
        </w:rPr>
      </w:pPr>
      <w:r w:rsidRPr="005D7EEC">
        <w:rPr>
          <w:rFonts w:cs="Arial"/>
          <w:u w:color="000000"/>
          <w:bdr w:val="nil"/>
          <w:lang w:eastAsia="en-GB"/>
        </w:rPr>
        <w:t xml:space="preserve">Residents moving to new towns identified them positively as being “a city in the countryside” with easy access to nature, abundant green space in </w:t>
      </w:r>
      <w:bookmarkStart w:id="26" w:name="_Int_0IJS6KpA"/>
      <w:r w:rsidRPr="005D7EEC">
        <w:rPr>
          <w:rFonts w:cs="Arial"/>
          <w:u w:color="000000"/>
          <w:bdr w:val="nil"/>
          <w:lang w:eastAsia="en-GB"/>
        </w:rPr>
        <w:t>neighbourhoods</w:t>
      </w:r>
      <w:bookmarkEnd w:id="26"/>
      <w:r w:rsidRPr="005D7EEC">
        <w:rPr>
          <w:rFonts w:cs="Arial"/>
          <w:u w:color="000000"/>
          <w:bdr w:val="nil"/>
          <w:lang w:eastAsia="en-GB"/>
        </w:rPr>
        <w:t xml:space="preserve"> with a village character, and walkability on a town-wide pedestrian network away from traffic, sometimes on raised walkways. Access to private gardens, services, facilities and public transport in town and neighbourhood centres were attracting elements</w:t>
      </w:r>
      <w:r w:rsidRPr="005D7EEC">
        <w:rPr>
          <w:rFonts w:cs="Arial"/>
          <w:u w:color="000000"/>
          <w:bdr w:val="nil"/>
          <w:vertAlign w:val="superscript"/>
          <w:lang w:eastAsia="en-GB"/>
        </w:rPr>
        <w:endnoteReference w:id="84"/>
      </w:r>
      <w:r w:rsidRPr="005D7EEC">
        <w:rPr>
          <w:rFonts w:cs="Arial"/>
          <w:u w:color="000000"/>
          <w:bdr w:val="nil"/>
          <w:lang w:eastAsia="en-GB"/>
        </w:rPr>
        <w:t>. Yet the new towns began with a suburban approach which made it harder to maintain sufficient density to underpin urban services and facilities</w:t>
      </w:r>
      <w:r w:rsidRPr="005D7EEC">
        <w:rPr>
          <w:rFonts w:cs="Arial"/>
          <w:u w:color="000000"/>
          <w:bdr w:val="nil"/>
          <w:vertAlign w:val="superscript"/>
          <w:lang w:eastAsia="en-GB"/>
        </w:rPr>
        <w:endnoteReference w:id="85"/>
      </w:r>
      <w:r w:rsidRPr="005D7EEC">
        <w:rPr>
          <w:rFonts w:cs="Arial"/>
          <w:u w:color="000000"/>
          <w:bdr w:val="nil"/>
          <w:lang w:eastAsia="en-GB"/>
        </w:rPr>
        <w:t xml:space="preserve">. </w:t>
      </w:r>
    </w:p>
    <w:p w14:paraId="572564A2" w14:textId="77777777" w:rsidR="009518E9" w:rsidRPr="005D7EEC" w:rsidRDefault="009518E9" w:rsidP="009518E9">
      <w:pPr>
        <w:rPr>
          <w:rFonts w:cs="Arial"/>
          <w:u w:color="000000"/>
          <w:bdr w:val="nil"/>
          <w:lang w:eastAsia="en-GB"/>
        </w:rPr>
      </w:pPr>
      <w:r w:rsidRPr="005D7EEC">
        <w:rPr>
          <w:rFonts w:cs="Arial"/>
          <w:u w:color="000000"/>
          <w:bdr w:val="nil"/>
          <w:lang w:eastAsia="en-GB"/>
        </w:rPr>
        <w:t xml:space="preserve">More positively, there has been an increasing focus on achieving density around transport nodes, high density centres, and the evolution of neighbourhood design in some of the new towns to emphasise liveable place qualities. There is also proving to be space for hybrid approaches to placemaking. such as the </w:t>
      </w:r>
      <w:proofErr w:type="spellStart"/>
      <w:r w:rsidRPr="005D7EEC">
        <w:rPr>
          <w:rFonts w:cs="Arial"/>
          <w:u w:color="000000"/>
          <w:bdr w:val="nil"/>
          <w:lang w:eastAsia="en-GB"/>
        </w:rPr>
        <w:t>Sycomore</w:t>
      </w:r>
      <w:proofErr w:type="spellEnd"/>
      <w:r w:rsidRPr="005D7EEC">
        <w:rPr>
          <w:rFonts w:cs="Arial"/>
          <w:u w:color="000000"/>
          <w:bdr w:val="nil"/>
          <w:lang w:eastAsia="en-GB"/>
        </w:rPr>
        <w:t xml:space="preserve"> eco quartier in </w:t>
      </w:r>
      <w:proofErr w:type="spellStart"/>
      <w:r w:rsidRPr="005D7EEC">
        <w:rPr>
          <w:rFonts w:cs="Arial"/>
          <w:u w:color="000000"/>
          <w:bdr w:val="nil"/>
          <w:lang w:eastAsia="en-GB"/>
        </w:rPr>
        <w:t>Bussy</w:t>
      </w:r>
      <w:proofErr w:type="spellEnd"/>
      <w:r w:rsidRPr="005D7EEC">
        <w:rPr>
          <w:rFonts w:cs="Arial"/>
          <w:u w:color="000000"/>
          <w:bdr w:val="nil"/>
          <w:lang w:eastAsia="en-GB"/>
        </w:rPr>
        <w:t>-Saint-Georges on the edge of Marne-le-Vallée. This</w:t>
      </w:r>
      <w:r w:rsidRPr="005D7EEC" w:rsidDel="00D41835">
        <w:rPr>
          <w:rFonts w:cs="Arial"/>
          <w:u w:color="000000"/>
          <w:bdr w:val="nil"/>
          <w:lang w:eastAsia="en-GB"/>
        </w:rPr>
        <w:t xml:space="preserve"> </w:t>
      </w:r>
      <w:r w:rsidRPr="005D7EEC">
        <w:rPr>
          <w:rFonts w:cs="Arial"/>
          <w:u w:color="000000"/>
          <w:bdr w:val="nil"/>
          <w:lang w:eastAsia="en-GB"/>
        </w:rPr>
        <w:t xml:space="preserve">mixes </w:t>
      </w:r>
      <w:r w:rsidRPr="005D7EEC">
        <w:rPr>
          <w:rFonts w:cs="Arial"/>
          <w:u w:color="000000"/>
          <w:bdr w:val="nil"/>
          <w:lang w:eastAsia="en-GB"/>
        </w:rPr>
        <w:lastRenderedPageBreak/>
        <w:t>modernist architectural housing styles with green construction and place features in an explicitly ‘eco’ approach.</w:t>
      </w:r>
    </w:p>
    <w:p w14:paraId="50927930" w14:textId="77777777" w:rsidR="009518E9" w:rsidRPr="005D7EEC" w:rsidRDefault="009518E9" w:rsidP="009518E9">
      <w:pPr>
        <w:rPr>
          <w:rFonts w:cs="Arial"/>
          <w:u w:color="000000"/>
          <w:bdr w:val="nil"/>
          <w:lang w:eastAsia="en-GB"/>
        </w:rPr>
      </w:pPr>
      <w:r w:rsidRPr="005D7EEC">
        <w:rPr>
          <w:rFonts w:cs="Arial"/>
          <w:u w:color="000000"/>
          <w:bdr w:val="nil"/>
          <w:lang w:eastAsia="en-GB"/>
        </w:rPr>
        <w:t>Facilitating social and income mix was a deliberate aim from the outset of the new towns. All the same, tenures are dominated by social housing and housing for sale, with little private rental housing available</w:t>
      </w:r>
      <w:r w:rsidRPr="005D7EEC">
        <w:rPr>
          <w:rFonts w:cs="Arial"/>
          <w:u w:color="000000"/>
          <w:bdr w:val="nil"/>
          <w:vertAlign w:val="superscript"/>
          <w:lang w:eastAsia="en-GB"/>
        </w:rPr>
        <w:endnoteReference w:id="86"/>
      </w:r>
      <w:r w:rsidRPr="005D7EEC">
        <w:rPr>
          <w:rFonts w:cs="Arial"/>
          <w:u w:color="000000"/>
          <w:bdr w:val="nil"/>
          <w:lang w:eastAsia="en-GB"/>
        </w:rPr>
        <w:t>. Social mix has latterly increased in some of the new towns by bringing in more affluent residents, a change not all welcome</w:t>
      </w:r>
      <w:r w:rsidRPr="005D7EEC">
        <w:rPr>
          <w:rFonts w:cs="Arial"/>
          <w:u w:color="000000"/>
          <w:bdr w:val="nil"/>
          <w:vertAlign w:val="superscript"/>
          <w:lang w:eastAsia="en-GB"/>
        </w:rPr>
        <w:endnoteReference w:id="87"/>
      </w:r>
      <w:r w:rsidRPr="005D7EEC">
        <w:rPr>
          <w:rFonts w:cs="Arial"/>
          <w:u w:color="000000"/>
          <w:bdr w:val="nil"/>
          <w:lang w:eastAsia="en-GB"/>
        </w:rPr>
        <w:t>. Today the engagement of residents is reinforced by the requirements of planning law to consult local communities on proposed developments but there is little town-wide engagement from below</w:t>
      </w:r>
      <w:r w:rsidRPr="005D7EEC">
        <w:rPr>
          <w:rFonts w:cs="Arial"/>
          <w:u w:color="000000"/>
          <w:bdr w:val="nil"/>
          <w:vertAlign w:val="superscript"/>
          <w:lang w:eastAsia="en-GB"/>
        </w:rPr>
        <w:endnoteReference w:id="88"/>
      </w:r>
      <w:r w:rsidRPr="005D7EEC">
        <w:rPr>
          <w:rFonts w:cs="Arial"/>
          <w:u w:color="000000"/>
          <w:bdr w:val="nil"/>
          <w:lang w:eastAsia="en-GB"/>
        </w:rPr>
        <w:t xml:space="preserve">. </w:t>
      </w:r>
    </w:p>
    <w:p w14:paraId="1E3FF437" w14:textId="77777777" w:rsidR="009518E9" w:rsidRPr="005D7EEC" w:rsidRDefault="009518E9" w:rsidP="009518E9">
      <w:pPr>
        <w:rPr>
          <w:rFonts w:cs="Arial"/>
          <w:u w:color="000000"/>
          <w:bdr w:val="nil"/>
          <w:lang w:eastAsia="en-GB"/>
        </w:rPr>
      </w:pPr>
      <w:r w:rsidRPr="005D7EEC">
        <w:rPr>
          <w:rFonts w:cs="Arial"/>
          <w:u w:color="000000"/>
          <w:bdr w:val="nil"/>
          <w:lang w:eastAsia="en-GB"/>
        </w:rPr>
        <w:t>At large geographical scale, Paris region’s new towns have strong landscape qualities, with neighbourhoods interspersed with parks and protected natural areas. The urban context intertwined with the new towns is complex – including suburban housing estates, middle class and working-class neighbourhoods, social housing estates, and “legacies of old urban fabric” of existing villages and towns</w:t>
      </w:r>
      <w:r w:rsidRPr="005D7EEC">
        <w:rPr>
          <w:rFonts w:cs="Arial"/>
          <w:u w:color="000000"/>
          <w:bdr w:val="nil"/>
          <w:vertAlign w:val="superscript"/>
          <w:lang w:eastAsia="en-GB"/>
        </w:rPr>
        <w:endnoteReference w:id="89"/>
      </w:r>
      <w:r w:rsidRPr="005D7EEC">
        <w:rPr>
          <w:rFonts w:cs="Arial"/>
          <w:u w:color="000000"/>
          <w:bdr w:val="nil"/>
          <w:lang w:eastAsia="en-GB"/>
        </w:rPr>
        <w:t>.</w:t>
      </w:r>
    </w:p>
    <w:p w14:paraId="1688AA4A" w14:textId="77777777" w:rsidR="009518E9" w:rsidRPr="005D7EEC" w:rsidRDefault="009518E9" w:rsidP="009518E9">
      <w:pPr>
        <w:rPr>
          <w:rFonts w:cs="Arial"/>
          <w:u w:color="000000"/>
          <w:bdr w:val="nil"/>
          <w:lang w:eastAsia="en-GB"/>
        </w:rPr>
      </w:pPr>
      <w:r w:rsidRPr="005D7EEC">
        <w:rPr>
          <w:rFonts w:eastAsia="Aptos" w:cs="Arial"/>
        </w:rPr>
        <w:t>T</w:t>
      </w:r>
      <w:r w:rsidRPr="005D7EEC">
        <w:rPr>
          <w:rFonts w:eastAsia="Aptos" w:cs="Arial"/>
          <w:color w:val="000000" w:themeColor="text1"/>
        </w:rPr>
        <w:t xml:space="preserve">his was reflected in various associations that developed around the new towns to defend existing places’ traditional qualities of rural character, local green space, access to countryside landscapes, existing land ownership, and traditional village. This succeeded at Champs and </w:t>
      </w:r>
      <w:proofErr w:type="spellStart"/>
      <w:r w:rsidRPr="005D7EEC">
        <w:rPr>
          <w:rFonts w:eastAsia="Aptos" w:cs="Arial"/>
          <w:color w:val="000000" w:themeColor="text1"/>
        </w:rPr>
        <w:t>Croissy-Beaubourg</w:t>
      </w:r>
      <w:proofErr w:type="spellEnd"/>
      <w:r w:rsidRPr="005D7EEC">
        <w:rPr>
          <w:rFonts w:eastAsia="Aptos" w:cs="Arial"/>
          <w:color w:val="000000" w:themeColor="text1"/>
        </w:rPr>
        <w:t xml:space="preserve"> near Marne-le-Vallée and Cergy village against what was seen as the problematic design of the Cergy-</w:t>
      </w:r>
      <w:proofErr w:type="spellStart"/>
      <w:r w:rsidRPr="005D7EEC">
        <w:rPr>
          <w:rFonts w:eastAsia="Aptos" w:cs="Arial"/>
          <w:color w:val="000000" w:themeColor="text1"/>
        </w:rPr>
        <w:t>Pontoise</w:t>
      </w:r>
      <w:proofErr w:type="spellEnd"/>
      <w:r w:rsidRPr="005D7EEC">
        <w:rPr>
          <w:rFonts w:eastAsia="Aptos" w:cs="Arial"/>
          <w:color w:val="000000" w:themeColor="text1"/>
        </w:rPr>
        <w:t xml:space="preserve"> new town development</w:t>
      </w:r>
      <w:r w:rsidRPr="005D7EEC">
        <w:rPr>
          <w:rFonts w:cs="Arial"/>
          <w:u w:color="000000"/>
          <w:bdr w:val="nil"/>
          <w:vertAlign w:val="superscript"/>
          <w:lang w:eastAsia="en-GB"/>
        </w:rPr>
        <w:endnoteReference w:id="90"/>
      </w:r>
      <w:r w:rsidRPr="005D7EEC">
        <w:rPr>
          <w:rFonts w:cs="Arial"/>
          <w:u w:color="000000"/>
          <w:bdr w:val="nil"/>
          <w:lang w:eastAsia="en-GB"/>
        </w:rPr>
        <w:t xml:space="preserve">. </w:t>
      </w:r>
    </w:p>
    <w:p w14:paraId="13F9973A" w14:textId="191A3B57" w:rsidR="009518E9" w:rsidRPr="005D7EEC" w:rsidRDefault="00057D7F" w:rsidP="00CE5506">
      <w:pPr>
        <w:pStyle w:val="Heading2"/>
        <w:rPr>
          <w:rFonts w:cs="Arial"/>
        </w:rPr>
      </w:pPr>
      <w:r w:rsidRPr="005D7EEC">
        <w:rPr>
          <w:rFonts w:cs="Arial"/>
        </w:rPr>
        <w:t xml:space="preserve">4.9 </w:t>
      </w:r>
      <w:r w:rsidR="009518E9" w:rsidRPr="005D7EEC">
        <w:rPr>
          <w:rFonts w:cs="Arial"/>
        </w:rPr>
        <w:t>Different kinds of placemaking partnerships for new towns</w:t>
      </w:r>
    </w:p>
    <w:p w14:paraId="692B4457"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more recent placemaking examples of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and Le Plessis-Robinson areas within Marne-le-Vallée new town demonstrate walkable, mixed use, medium density places with traditional residential architecture. These have managed to avoid the problems created previously of overly large, hard-to-maintain housing structures and public spaces.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emerged from partnership working between the French state and the Disney Corporation to help design the place qualities of the final part of the 40-kilometre linear city of Marne-le-Vallée</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1"/>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It was intended as “an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lastRenderedPageBreak/>
        <w:t>opportunity to stimulate a new development of the eastern section of the new town and produce a major tourist attraction”</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2"/>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p>
    <w:p w14:paraId="3BE9A741"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In placemaking terms,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employed a traditional block and street form, making human-scaled, walkable neighbourhoods and limiting and carefully locating car access and parking”</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3"/>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As of 2019, 12,000 housing units had been built in five districts centred on local centres, with Disney developing 6,000 of them</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4"/>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Such examples reflect a strong preference in the housing market, among consumers, by developers, and among the region’s political leaders, for placemaking that produces places with these attractive design qualities. </w:t>
      </w:r>
    </w:p>
    <w:p w14:paraId="7122E64F" w14:textId="77777777" w:rsidR="009518E9" w:rsidRPr="005D7EEC" w:rsidRDefault="009518E9" w:rsidP="009518E9">
      <w:pPr>
        <w:rPr>
          <w:rFonts w:eastAsia="Aptos" w:cs="Arial"/>
          <w:color w:val="000000" w:themeColor="text1"/>
        </w:rPr>
      </w:pPr>
      <w:r w:rsidRPr="005D7EEC">
        <w:rPr>
          <w:rFonts w:cs="Arial"/>
          <w:noProof/>
        </w:rPr>
        <w:drawing>
          <wp:inline distT="0" distB="0" distL="0" distR="0" wp14:anchorId="178C66D8" wp14:editId="496A6E35">
            <wp:extent cx="4184650" cy="2716592"/>
            <wp:effectExtent l="0" t="0" r="6350" b="7620"/>
            <wp:docPr id="1139456427" name="drawing" descr="Photograph of 10-storey apartment buildings situated around a couryard, abutting a corner passage through to a street, and connected at the top floor by a large balcony, held up by a distinctive structural element with a circular shape. In the foreground are flower-beds and sm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6427" name="drawing" descr="Photograph of 10-storey apartment buildings situated around a couryard, abutting a corner passage through to a street, and connected at the top floor by a large balcony, held up by a distinctive structural element with a circular shape. In the foreground are flower-beds and small trees."/>
                    <pic:cNvPicPr/>
                  </pic:nvPicPr>
                  <pic:blipFill>
                    <a:blip r:embed="rId35">
                      <a:extLst>
                        <a:ext uri="{28A0092B-C50C-407E-A947-70E740481C1C}">
                          <a14:useLocalDpi xmlns:a14="http://schemas.microsoft.com/office/drawing/2010/main"/>
                        </a:ext>
                      </a:extLst>
                    </a:blip>
                    <a:stretch>
                      <a:fillRect/>
                    </a:stretch>
                  </pic:blipFill>
                  <pic:spPr>
                    <a:xfrm>
                      <a:off x="0" y="0"/>
                      <a:ext cx="4189636" cy="2719829"/>
                    </a:xfrm>
                    <a:prstGeom prst="rect">
                      <a:avLst/>
                    </a:prstGeom>
                  </pic:spPr>
                </pic:pic>
              </a:graphicData>
            </a:graphic>
          </wp:inline>
        </w:drawing>
      </w:r>
    </w:p>
    <w:p w14:paraId="62EA5B9C" w14:textId="77777777" w:rsidR="009518E9" w:rsidRPr="005D7EEC" w:rsidRDefault="009518E9" w:rsidP="009518E9">
      <w:pPr>
        <w:rPr>
          <w:rFonts w:cs="Arial"/>
          <w:i/>
          <w:u w:color="000000"/>
          <w:bdr w:val="nil"/>
          <w:lang w:eastAsia="en-GB"/>
        </w:rPr>
      </w:pPr>
      <w:r w:rsidRPr="005D7EEC">
        <w:rPr>
          <w:rFonts w:cs="Arial"/>
          <w:i/>
          <w:u w:color="000000"/>
          <w:bdr w:val="nil"/>
          <w:lang w:eastAsia="en-GB"/>
        </w:rPr>
        <w:t>Figure 3.4: Large scale housing scheme at St Quentin-</w:t>
      </w:r>
      <w:proofErr w:type="spellStart"/>
      <w:r w:rsidRPr="005D7EEC">
        <w:rPr>
          <w:rFonts w:cs="Arial"/>
          <w:i/>
          <w:u w:color="000000"/>
          <w:bdr w:val="nil"/>
          <w:lang w:eastAsia="en-GB"/>
        </w:rPr>
        <w:t>en</w:t>
      </w:r>
      <w:proofErr w:type="spellEnd"/>
      <w:r w:rsidRPr="005D7EEC">
        <w:rPr>
          <w:rFonts w:cs="Arial"/>
          <w:i/>
          <w:u w:color="000000"/>
          <w:bdr w:val="nil"/>
          <w:lang w:eastAsia="en-GB"/>
        </w:rPr>
        <w:t>-Yvelines new town south east of Paris. Source: Photograph by Susan Parham, 2025</w:t>
      </w:r>
    </w:p>
    <w:p w14:paraId="6D9CE6AC" w14:textId="5FBF0762" w:rsidR="009518E9" w:rsidRPr="005D7EEC" w:rsidRDefault="00057D7F" w:rsidP="00CE5506">
      <w:pPr>
        <w:pStyle w:val="Heading2"/>
        <w:rPr>
          <w:rFonts w:cs="Arial"/>
        </w:rPr>
      </w:pPr>
      <w:r w:rsidRPr="005D7EEC">
        <w:rPr>
          <w:rFonts w:cs="Arial"/>
        </w:rPr>
        <w:t xml:space="preserve">4.10 </w:t>
      </w:r>
      <w:r w:rsidR="009518E9" w:rsidRPr="005D7EEC">
        <w:rPr>
          <w:rFonts w:cs="Arial"/>
        </w:rPr>
        <w:t xml:space="preserve">Adaptability and flexibility: Levers and barriers </w:t>
      </w:r>
    </w:p>
    <w:p w14:paraId="374A3CDC"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range of new towns developed around Paris since the 1960s offer lessons on adaptability and flexibility in a number of themes. These themes include regional strategic and land use planning, regional transport planning, managing complex governance arrangements over time, development financing, affordable land and housing provision, landscape and green infrastructure features, and liveable placemaking through ‘concentrated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deconcentration</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p>
    <w:p w14:paraId="360D9ED0"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lastRenderedPageBreak/>
        <w:t xml:space="preserve">Planners internationally can learn from the Paris region new towns’ largely failed experiments in monumental residential architecture and grandiose placemaking in a suburban context. These are their least successful elements. Policy makers since have started to develop places at a more human and urban scale, showing a willingness to flexibly adapt the approach. This has meant avoiding a strictly ‘modernist’ architectural vision or car-dependent suburban practice, despite these approaches being dominant in many urban contexts internationally. </w:t>
      </w:r>
    </w:p>
    <w:p w14:paraId="439251B4"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Paris region new towns are now showing in places like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that traditional placemaking produces commercial viability, resident popularity and sustainable design qualities. These approaches already align with key urban design principles for making high quality new places. They would therefore be relevant wherever new towns may be located internationally. </w:t>
      </w:r>
    </w:p>
    <w:p w14:paraId="5F552C72"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Additionally, some existing new towns globally face problems with their housing and place quality. Paris region new towns also provide some worked examples, such as Le Plessis-Robinson, of how to </w:t>
      </w:r>
      <w:r w:rsidRPr="005D7EEC">
        <w:rPr>
          <w:rFonts w:eastAsia="Aptos" w:cs="Arial"/>
          <w:b/>
          <w:bCs/>
          <w:color w:val="000000" w:themeColor="text1"/>
          <w:u w:color="000000"/>
          <w:bdr w:val="nil"/>
          <w:lang w:eastAsia="en-GB"/>
          <w14:textOutline w14:w="0" w14:cap="flat" w14:cmpd="sng" w14:algn="ctr">
            <w14:noFill/>
            <w14:prstDash w14:val="solid"/>
            <w14:bevel/>
          </w14:textOutline>
          <w14:ligatures w14:val="none"/>
        </w:rPr>
        <w:t>retrofit existing new towns</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These forms of new town development and renewal show how new towns can be adapted once built, or new parts of them built, to a human-scaled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masterplanning</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model. </w:t>
      </w:r>
    </w:p>
    <w:p w14:paraId="61970B3F" w14:textId="76A23217" w:rsidR="009518E9" w:rsidRPr="005D7EEC" w:rsidRDefault="00057D7F" w:rsidP="00CE5506">
      <w:pPr>
        <w:pStyle w:val="Heading2"/>
        <w:rPr>
          <w:rFonts w:cs="Arial"/>
        </w:rPr>
      </w:pPr>
      <w:r w:rsidRPr="005D7EEC">
        <w:rPr>
          <w:rFonts w:cs="Arial"/>
        </w:rPr>
        <w:t xml:space="preserve">4.11 </w:t>
      </w:r>
      <w:r w:rsidR="009518E9" w:rsidRPr="005D7EEC">
        <w:rPr>
          <w:rFonts w:cs="Arial"/>
        </w:rPr>
        <w:t>Key lessons</w:t>
      </w:r>
    </w:p>
    <w:p w14:paraId="7A97570F" w14:textId="77777777" w:rsidR="009518E9" w:rsidRPr="005D7EEC" w:rsidRDefault="009518E9" w:rsidP="009518E9">
      <w:pPr>
        <w:pStyle w:val="Heading3"/>
        <w:rPr>
          <w:rFonts w:ascii="Arial" w:hAnsi="Arial" w:cs="Arial"/>
        </w:rPr>
      </w:pPr>
      <w:r w:rsidRPr="005D7EEC">
        <w:rPr>
          <w:rFonts w:ascii="Arial" w:hAnsi="Arial" w:cs="Arial"/>
        </w:rPr>
        <w:t>Lesson 1: Strategic governance and planning</w:t>
      </w:r>
    </w:p>
    <w:p w14:paraId="1AF3DF3A"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The Paris region constellation of new towns shows strategic, policy and </w:t>
      </w:r>
      <w:proofErr w:type="spellStart"/>
      <w:r w:rsidRPr="005D7EEC">
        <w:rPr>
          <w:rFonts w:eastAsia="Aptos" w:cs="Arial"/>
          <w:color w:val="000000" w:themeColor="text1"/>
        </w:rPr>
        <w:t>masterplanning</w:t>
      </w:r>
      <w:proofErr w:type="spellEnd"/>
      <w:r w:rsidRPr="005D7EEC">
        <w:rPr>
          <w:rFonts w:eastAsia="Aptos" w:cs="Arial"/>
          <w:color w:val="000000" w:themeColor="text1"/>
        </w:rPr>
        <w:t xml:space="preserve"> coherence, as well as some capacity to update their placemaking approach. This is demonstrated in how they are governed, planned and managed. It is in part the result of the nature and scale of the original new towns masterplan. It also reflects more recent initiatives such as the Metropolis of Greater Paris, which in turn supports governance clarity, economic vibrancy, and good transport connectivity in the Paris region new towns. </w:t>
      </w:r>
    </w:p>
    <w:p w14:paraId="18C76274"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Policy makers internationally can learn from this </w:t>
      </w:r>
      <w:r w:rsidRPr="005D7EEC">
        <w:rPr>
          <w:rFonts w:eastAsia="Aptos" w:cs="Arial"/>
          <w:b/>
          <w:bCs/>
          <w:color w:val="000000" w:themeColor="text1"/>
        </w:rPr>
        <w:t>regional level focus</w:t>
      </w:r>
      <w:r w:rsidRPr="005D7EEC">
        <w:rPr>
          <w:rFonts w:eastAsia="Aptos" w:cs="Arial"/>
          <w:color w:val="000000" w:themeColor="text1"/>
        </w:rPr>
        <w:t xml:space="preserve"> by bringing together central government, regional and local government and new town consortia </w:t>
      </w:r>
      <w:r w:rsidRPr="005D7EEC">
        <w:rPr>
          <w:rFonts w:eastAsia="Aptos" w:cs="Arial"/>
          <w:color w:val="000000" w:themeColor="text1"/>
        </w:rPr>
        <w:lastRenderedPageBreak/>
        <w:t>in a combined approach. This should be especially viable where new towns are similarly located around existing major cities and conurbations which already have metropolitan-region governance structures in place. These structures can be used to ensure a regional focus on new towns.</w:t>
      </w:r>
    </w:p>
    <w:p w14:paraId="3418C054" w14:textId="77777777" w:rsidR="009518E9" w:rsidRPr="005D7EEC" w:rsidRDefault="009518E9" w:rsidP="009518E9">
      <w:pPr>
        <w:pStyle w:val="Heading3"/>
        <w:rPr>
          <w:rFonts w:ascii="Arial" w:hAnsi="Arial" w:cs="Arial"/>
        </w:rPr>
      </w:pPr>
      <w:r w:rsidRPr="005D7EEC">
        <w:rPr>
          <w:rFonts w:ascii="Arial" w:hAnsi="Arial" w:cs="Arial"/>
        </w:rPr>
        <w:t>Lesson 2: Benefits of connected regional transport infrastructure</w:t>
      </w:r>
    </w:p>
    <w:p w14:paraId="3497153B" w14:textId="77777777" w:rsidR="009518E9" w:rsidRPr="005D7EEC" w:rsidRDefault="009518E9" w:rsidP="009518E9">
      <w:pPr>
        <w:pBdr>
          <w:top w:val="nil"/>
          <w:left w:val="nil"/>
          <w:bottom w:val="nil"/>
          <w:right w:val="nil"/>
          <w:between w:val="nil"/>
          <w:bar w:val="nil"/>
        </w:pBdr>
        <w:rPr>
          <w:rFonts w:eastAsia="Aptos" w:cs="Arial"/>
          <w:color w:val="000000" w:themeColor="text1"/>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A key lesson from the Paris Region is the importance of connectivity between new towns and the central city. This can be understood in terms of transport infrastructure but also social and economic connectivity. According to </w:t>
      </w:r>
      <w:r w:rsidRPr="005D7EEC">
        <w:rPr>
          <w:rFonts w:eastAsia="Aptos" w:cs="Arial"/>
          <w:color w:val="000000" w:themeColor="text1"/>
        </w:rPr>
        <w:t xml:space="preserve">Jean-François </w:t>
      </w:r>
      <w:proofErr w:type="spellStart"/>
      <w:r w:rsidRPr="005D7EEC">
        <w:rPr>
          <w:rFonts w:eastAsia="Aptos" w:cs="Arial"/>
          <w:color w:val="000000" w:themeColor="text1"/>
        </w:rPr>
        <w:t>Ruault</w:t>
      </w:r>
      <w:proofErr w:type="spellEnd"/>
      <w:r w:rsidRPr="005D7EEC">
        <w:rPr>
          <w:rFonts w:eastAsia="Aptos" w:cs="Arial"/>
          <w:color w:val="000000" w:themeColor="text1"/>
        </w:rPr>
        <w:t>:</w:t>
      </w:r>
    </w:p>
    <w:p w14:paraId="2316538C" w14:textId="77777777" w:rsidR="009518E9" w:rsidRPr="005D7EEC" w:rsidRDefault="009518E9" w:rsidP="009518E9">
      <w:pPr>
        <w:pBdr>
          <w:top w:val="nil"/>
          <w:left w:val="nil"/>
          <w:bottom w:val="nil"/>
          <w:right w:val="nil"/>
          <w:between w:val="nil"/>
          <w:bar w:val="nil"/>
        </w:pBdr>
        <w:ind w:left="720" w:firstLine="30"/>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rPr>
        <w:t>“each week inhabitants of the Paris Region generate 266 million trips for various purposes, including 52 million commuting trips between department areas and 38 million supporting out-of-home place activities such as working, shopping or having lunch”</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5"/>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p>
    <w:p w14:paraId="2A8FF6E8"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While diverse in their individual placemaking, these new towns centres and subcentres</w:t>
      </w:r>
      <w:r w:rsidRPr="005D7EEC">
        <w:rPr>
          <w:rStyle w:val="CommentReference"/>
          <w:rFonts w:eastAsia="Aptos" w:cs="Arial"/>
          <w:color w:val="000000" w:themeColor="text1"/>
          <w:sz w:val="22"/>
          <w:szCs w:val="22"/>
          <w:u w:color="000000"/>
          <w:bdr w:val="nil"/>
          <w:lang w:eastAsia="en-GB"/>
          <w14:textOutline w14:w="0" w14:cap="flat" w14:cmpd="sng" w14:algn="ctr">
            <w14:noFill/>
            <w14:prstDash w14:val="solid"/>
            <w14:bevel/>
          </w14:textOutline>
          <w14:ligatures w14:val="none"/>
        </w:rPr>
        <w:t xml:space="preserve"> are</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not self-contained. They are interconnected places both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intraregionally</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and towards the primary capital to which they are geographically connected. The</w:t>
      </w:r>
      <w:r w:rsidRPr="005D7EEC" w:rsidDel="00F836DB">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development of transport connections, including the regional express train network (RER) (Réseau Express Régional),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Transilien</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rail and light rail systems, local bus networks, and cycle paths, both activates and is supported by the constellation of settlements. </w:t>
      </w:r>
    </w:p>
    <w:p w14:paraId="6FFFDBF9"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learning point here is how this experience reinforces the importance and worth of building on existing transport infrastructures in locating new towns. This infrastructure can also act as a platform for creating new active travel opportunities (cycle and walking routes focused on stations) that link to public transport services. Together the combination of regional transport services and network coverage are key placemaking elements that new towns internationally should consider. </w:t>
      </w:r>
    </w:p>
    <w:p w14:paraId="45A6DA6A" w14:textId="77777777" w:rsidR="009518E9" w:rsidRPr="005D7EEC" w:rsidRDefault="009518E9" w:rsidP="009518E9">
      <w:pPr>
        <w:pStyle w:val="Heading3"/>
        <w:rPr>
          <w:rFonts w:ascii="Arial" w:hAnsi="Arial" w:cs="Arial"/>
        </w:rPr>
      </w:pPr>
      <w:r w:rsidRPr="005D7EEC">
        <w:rPr>
          <w:rFonts w:ascii="Arial" w:hAnsi="Arial" w:cs="Arial"/>
        </w:rPr>
        <w:lastRenderedPageBreak/>
        <w:t xml:space="preserve">Lesson 3: Learning from ‘traditional’ place design and </w:t>
      </w:r>
      <w:proofErr w:type="spellStart"/>
      <w:r w:rsidRPr="005D7EEC">
        <w:rPr>
          <w:rFonts w:ascii="Arial" w:hAnsi="Arial" w:cs="Arial"/>
        </w:rPr>
        <w:t>masterplanning</w:t>
      </w:r>
      <w:proofErr w:type="spellEnd"/>
      <w:r w:rsidRPr="005D7EEC">
        <w:rPr>
          <w:rFonts w:ascii="Arial" w:hAnsi="Arial" w:cs="Arial"/>
        </w:rPr>
        <w:t xml:space="preserve"> of towns and neighbourhoods </w:t>
      </w:r>
    </w:p>
    <w:p w14:paraId="2D15F132"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Social mix and liveability have benefitted from strongly defined land use planning policy and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masterplanning</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frameworks in the Paris region. It has been positive that planning policy treated the new towns in the Paris agglomeration in a largely coherent, connected way, but some placemaking qualities proved problematic. On the urban edge of Paris, the new towns’ original low densities and modernist architectural preferences produced a liveability problem. </w:t>
      </w:r>
    </w:p>
    <w:p w14:paraId="3DD2D917"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Today, increasing densification of neighbourhoods includes medium rise, medium density housing and other services being designed into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masterplanning</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frameworks. These are helping build in more liveable qualities to new and retrofitted places. The popularity of neotraditional architecture and masterplans produced in some of the Paris region new towns</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6"/>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has broken the stereotype of the peripheral dormitory new town. Instead, places like the garden city inspired Le Plessis-Robinson and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are constructing an urban identity based on more traditional placemaking that is highly popular among consumers</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7"/>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p>
    <w:p w14:paraId="5CDF1D99" w14:textId="77777777" w:rsidR="009518E9" w:rsidRPr="005D7EEC" w:rsidRDefault="009518E9" w:rsidP="009518E9">
      <w:pPr>
        <w:pStyle w:val="Heading3"/>
        <w:rPr>
          <w:rFonts w:ascii="Arial" w:hAnsi="Arial" w:cs="Arial"/>
        </w:rPr>
      </w:pPr>
      <w:r w:rsidRPr="005D7EEC">
        <w:rPr>
          <w:rFonts w:ascii="Arial" w:hAnsi="Arial" w:cs="Arial"/>
        </w:rPr>
        <w:t>Lesson 4: Learning lessons from specific places to guide new town development</w:t>
      </w:r>
    </w:p>
    <w:p w14:paraId="767F530A"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Some of the newer developments in the Paris region new towns – with Val </w:t>
      </w:r>
      <w:proofErr w:type="spellStart"/>
      <w:r w:rsidRPr="005D7EEC">
        <w:rPr>
          <w:rFonts w:eastAsia="Aptos" w:cs="Arial"/>
          <w:color w:val="000000" w:themeColor="text1"/>
        </w:rPr>
        <w:t>d’Europe</w:t>
      </w:r>
      <w:proofErr w:type="spellEnd"/>
      <w:r w:rsidRPr="005D7EEC">
        <w:rPr>
          <w:rFonts w:eastAsia="Aptos" w:cs="Arial"/>
          <w:color w:val="000000" w:themeColor="text1"/>
        </w:rPr>
        <w:t xml:space="preserve"> being the most prominent – demonstrate that it is possible to develop places that are commercially viable, politically supported, popular with residents, successful in the housing market, and liveable, sustainable and attractive.  Some wider scale regional green landscape qualities are another strength of the Paris </w:t>
      </w:r>
      <w:bookmarkStart w:id="27" w:name="_Int_LvjWvQ2h"/>
      <w:r w:rsidRPr="005D7EEC">
        <w:rPr>
          <w:rFonts w:eastAsia="Aptos" w:cs="Arial"/>
          <w:color w:val="000000" w:themeColor="text1"/>
        </w:rPr>
        <w:t>region</w:t>
      </w:r>
      <w:bookmarkEnd w:id="27"/>
      <w:r w:rsidRPr="005D7EEC">
        <w:rPr>
          <w:rFonts w:eastAsia="Aptos" w:cs="Arial"/>
          <w:color w:val="000000" w:themeColor="text1"/>
        </w:rPr>
        <w:t xml:space="preserve"> new towns. Access to these landscapes is valued by new town residents as space for recreation, wellbeing and culture. Regional parks provide substantial green infrastructure which helps with urban heat island effects and water management at a broad scale. </w:t>
      </w:r>
    </w:p>
    <w:p w14:paraId="0DA1AC62" w14:textId="77777777" w:rsidR="009518E9" w:rsidRPr="005D7EEC" w:rsidRDefault="009518E9" w:rsidP="009518E9">
      <w:pPr>
        <w:pStyle w:val="Heading3"/>
        <w:rPr>
          <w:rFonts w:ascii="Arial" w:hAnsi="Arial" w:cs="Arial"/>
        </w:rPr>
      </w:pPr>
      <w:r w:rsidRPr="005D7EEC">
        <w:rPr>
          <w:rFonts w:ascii="Arial" w:hAnsi="Arial" w:cs="Arial"/>
        </w:rPr>
        <w:t>Lesson 5: Learning lessons from specific places to guide new town retrofit</w:t>
      </w:r>
    </w:p>
    <w:p w14:paraId="0E5EE7EC"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The Paris region shows substantial evidence of successful new town retrofitting. This is managing problems caused by their original car-dominated placemaking and lack </w:t>
      </w:r>
      <w:r w:rsidRPr="005D7EEC">
        <w:rPr>
          <w:rFonts w:eastAsia="Aptos" w:cs="Arial"/>
          <w:color w:val="000000" w:themeColor="text1"/>
        </w:rPr>
        <w:lastRenderedPageBreak/>
        <w:t xml:space="preserve">of robust housing and public spaces. Retrofitting and extending places can be used to raise development quality. It also helps respond to climate change issues including mitigating heat islands and improving walkability and cycling opportunities. </w:t>
      </w:r>
    </w:p>
    <w:p w14:paraId="69F404AD" w14:textId="77777777" w:rsidR="009518E9" w:rsidRPr="005D7EEC" w:rsidRDefault="009518E9" w:rsidP="009518E9">
      <w:pPr>
        <w:rPr>
          <w:rFonts w:cs="Arial"/>
        </w:rPr>
      </w:pPr>
      <w:r w:rsidRPr="005D7EEC">
        <w:rPr>
          <w:rFonts w:eastAsia="Aptos" w:cs="Arial"/>
          <w:color w:val="000000" w:themeColor="text1"/>
        </w:rPr>
        <w:t xml:space="preserve">New town retrofit can rapidly provide more affordable housing and greater social and land use mixing. It is quicker, less expensive and less wasteful of energy and other resources to make use of existing frameworks of infrastructure, transport and services rather than building entirely anew. </w:t>
      </w:r>
      <w:bookmarkEnd w:id="14"/>
      <w:r w:rsidRPr="005D7EEC">
        <w:rPr>
          <w:rFonts w:cs="Arial"/>
        </w:rPr>
        <w:t>Policy makers globally need to make use of places that are already developed wherever possible. Some Paris region new town examples are showing how this retrofitting can be done.</w:t>
      </w:r>
    </w:p>
    <w:p w14:paraId="0EF82EEC" w14:textId="56367735" w:rsidR="009518E9" w:rsidRPr="005D7EEC" w:rsidRDefault="009518E9" w:rsidP="009518E9">
      <w:pPr>
        <w:rPr>
          <w:rFonts w:eastAsiaTheme="majorEastAsia" w:cs="Arial"/>
          <w:b/>
          <w:szCs w:val="26"/>
        </w:rPr>
      </w:pPr>
    </w:p>
    <w:p w14:paraId="622CBF91" w14:textId="2BFE0378" w:rsidR="009518E9" w:rsidRPr="005D7EEC" w:rsidRDefault="00057D7F" w:rsidP="00CE5506">
      <w:pPr>
        <w:pStyle w:val="Heading2"/>
        <w:rPr>
          <w:rFonts w:cs="Arial"/>
        </w:rPr>
      </w:pPr>
      <w:r w:rsidRPr="005D7EEC">
        <w:rPr>
          <w:rFonts w:cs="Arial"/>
        </w:rPr>
        <w:t xml:space="preserve">4.12 </w:t>
      </w:r>
      <w:r w:rsidR="009518E9" w:rsidRPr="005D7EEC">
        <w:rPr>
          <w:rFonts w:cs="Arial"/>
        </w:rPr>
        <w:t>References</w:t>
      </w:r>
    </w:p>
    <w:p w14:paraId="69BE017A" w14:textId="77777777" w:rsidR="009518E9" w:rsidRPr="005D7EEC" w:rsidRDefault="009518E9" w:rsidP="009518E9">
      <w:pPr>
        <w:rPr>
          <w:rFonts w:cs="Arial"/>
        </w:rPr>
        <w:sectPr w:rsidR="009518E9" w:rsidRPr="005D7EEC" w:rsidSect="009518E9">
          <w:endnotePr>
            <w:numFmt w:val="decimal"/>
          </w:endnotePr>
          <w:pgSz w:w="11906" w:h="16838"/>
          <w:pgMar w:top="1440" w:right="1440" w:bottom="1440" w:left="1440" w:header="708" w:footer="741" w:gutter="0"/>
          <w:cols w:space="708"/>
          <w:docGrid w:linePitch="360"/>
        </w:sectPr>
      </w:pPr>
    </w:p>
    <w:p w14:paraId="394BA36D" w14:textId="47B79E4C" w:rsidR="009518E9" w:rsidRPr="005D7EEC" w:rsidRDefault="00057D7F" w:rsidP="0036491E">
      <w:pPr>
        <w:pStyle w:val="Heading1"/>
        <w:rPr>
          <w:rFonts w:cs="Arial"/>
        </w:rPr>
      </w:pPr>
      <w:bookmarkStart w:id="28" w:name="_Toc216946592"/>
      <w:bookmarkStart w:id="29" w:name="_Toc221626820"/>
      <w:r w:rsidRPr="005D7EEC">
        <w:rPr>
          <w:rFonts w:cs="Arial"/>
        </w:rPr>
        <w:lastRenderedPageBreak/>
        <w:t xml:space="preserve">5. </w:t>
      </w:r>
      <w:r w:rsidR="001308B1">
        <w:rPr>
          <w:rFonts w:cs="Arial"/>
        </w:rPr>
        <w:t xml:space="preserve">Case study: </w:t>
      </w:r>
      <w:r w:rsidR="009518E9" w:rsidRPr="005D7EEC">
        <w:rPr>
          <w:rFonts w:cs="Arial"/>
        </w:rPr>
        <w:t>Chandigarh</w:t>
      </w:r>
      <w:bookmarkEnd w:id="28"/>
      <w:bookmarkEnd w:id="29"/>
    </w:p>
    <w:p w14:paraId="25C95AF9" w14:textId="77777777" w:rsidR="009518E9" w:rsidRPr="005D7EEC" w:rsidRDefault="009518E9" w:rsidP="009518E9">
      <w:pPr>
        <w:rPr>
          <w:rFonts w:cs="Arial"/>
        </w:rPr>
      </w:pPr>
      <w:r w:rsidRPr="005D7EEC">
        <w:rPr>
          <w:rFonts w:cs="Arial"/>
        </w:rPr>
        <w:t xml:space="preserve">The limitations of modernist planning </w:t>
      </w:r>
    </w:p>
    <w:p w14:paraId="38B3DC26" w14:textId="579E2DC6" w:rsidR="009518E9" w:rsidRPr="005D7EEC" w:rsidRDefault="00057D7F" w:rsidP="00CE5506">
      <w:pPr>
        <w:pStyle w:val="Heading2"/>
        <w:rPr>
          <w:rFonts w:cs="Arial"/>
        </w:rPr>
      </w:pPr>
      <w:r w:rsidRPr="005D7EEC">
        <w:rPr>
          <w:rFonts w:cs="Arial"/>
        </w:rPr>
        <w:t xml:space="preserve">5.1 </w:t>
      </w:r>
      <w:r w:rsidR="009518E9" w:rsidRPr="005D7EEC">
        <w:rPr>
          <w:rFonts w:cs="Arial"/>
        </w:rPr>
        <w:t>Headlines</w:t>
      </w:r>
    </w:p>
    <w:p w14:paraId="6711618A" w14:textId="77777777" w:rsidR="009518E9" w:rsidRPr="005D7EEC" w:rsidRDefault="009518E9" w:rsidP="009518E9">
      <w:pPr>
        <w:rPr>
          <w:rFonts w:eastAsiaTheme="minorEastAsia" w:cs="Arial"/>
        </w:rPr>
      </w:pPr>
      <w:r w:rsidRPr="005D7EEC">
        <w:rPr>
          <w:rStyle w:val="Heading3Char"/>
          <w:rFonts w:cs="Arial"/>
        </w:rPr>
        <w:t>Location</w:t>
      </w:r>
    </w:p>
    <w:p w14:paraId="20D7CCC4" w14:textId="77777777" w:rsidR="009518E9" w:rsidRPr="005D7EEC" w:rsidRDefault="009518E9" w:rsidP="009518E9">
      <w:pPr>
        <w:rPr>
          <w:rFonts w:eastAsiaTheme="minorEastAsia" w:cs="Arial"/>
        </w:rPr>
      </w:pPr>
      <w:r w:rsidRPr="005D7EEC">
        <w:rPr>
          <w:rFonts w:eastAsiaTheme="minorEastAsia" w:cs="Arial"/>
        </w:rPr>
        <w:t>Chandigarh, India, Asia</w:t>
      </w:r>
    </w:p>
    <w:p w14:paraId="11D748AF" w14:textId="77777777" w:rsidR="009518E9" w:rsidRPr="005D7EEC" w:rsidRDefault="009518E9" w:rsidP="009518E9">
      <w:pPr>
        <w:rPr>
          <w:rFonts w:eastAsiaTheme="minorEastAsia" w:cs="Arial"/>
        </w:rPr>
      </w:pPr>
      <w:r w:rsidRPr="005D7EEC">
        <w:rPr>
          <w:rStyle w:val="Heading3Char"/>
          <w:rFonts w:cs="Arial"/>
        </w:rPr>
        <w:t>Key dates</w:t>
      </w:r>
    </w:p>
    <w:p w14:paraId="0B0C0E03" w14:textId="77777777" w:rsidR="009518E9" w:rsidRPr="005D7EEC" w:rsidRDefault="009518E9" w:rsidP="009518E9">
      <w:pPr>
        <w:rPr>
          <w:rFonts w:eastAsiaTheme="minorEastAsia" w:cs="Arial"/>
        </w:rPr>
      </w:pPr>
      <w:r w:rsidRPr="005D7EEC">
        <w:rPr>
          <w:rFonts w:eastAsiaTheme="minorEastAsia" w:cs="Arial"/>
        </w:rPr>
        <w:t>Planned 1947–1951, inaugurated 1953, major construction completed by the 1960s</w:t>
      </w:r>
    </w:p>
    <w:p w14:paraId="6882318D" w14:textId="77777777" w:rsidR="009518E9" w:rsidRPr="005D7EEC" w:rsidRDefault="009518E9" w:rsidP="009518E9">
      <w:pPr>
        <w:rPr>
          <w:rFonts w:eastAsiaTheme="minorEastAsia" w:cs="Arial"/>
        </w:rPr>
      </w:pPr>
      <w:r w:rsidRPr="005D7EEC">
        <w:rPr>
          <w:rStyle w:val="Heading3Char"/>
          <w:rFonts w:cs="Arial"/>
        </w:rPr>
        <w:t>Key features</w:t>
      </w:r>
    </w:p>
    <w:p w14:paraId="65B3CB5B" w14:textId="77777777" w:rsidR="009518E9" w:rsidRPr="005D7EEC" w:rsidRDefault="009518E9" w:rsidP="009518E9">
      <w:pPr>
        <w:rPr>
          <w:rFonts w:eastAsiaTheme="minorEastAsia" w:cs="Arial"/>
        </w:rPr>
      </w:pPr>
      <w:r w:rsidRPr="005D7EEC">
        <w:rPr>
          <w:rFonts w:eastAsiaTheme="minorEastAsia" w:cs="Arial"/>
        </w:rPr>
        <w:t xml:space="preserve">Chandigarh exemplifies modernist </w:t>
      </w:r>
      <w:proofErr w:type="spellStart"/>
      <w:r w:rsidRPr="005D7EEC">
        <w:rPr>
          <w:rFonts w:eastAsiaTheme="minorEastAsia" w:cs="Arial"/>
        </w:rPr>
        <w:t>masterplanning</w:t>
      </w:r>
      <w:proofErr w:type="spellEnd"/>
      <w:r w:rsidRPr="005D7EEC">
        <w:rPr>
          <w:rFonts w:eastAsiaTheme="minorEastAsia" w:cs="Arial"/>
        </w:rPr>
        <w:t xml:space="preserve"> through its sector-based layout, integration of green spaces, and monumental architectural forms.</w:t>
      </w:r>
    </w:p>
    <w:p w14:paraId="3D8D59CB" w14:textId="77777777" w:rsidR="009518E9" w:rsidRPr="005D7EEC" w:rsidRDefault="009518E9" w:rsidP="009518E9">
      <w:pPr>
        <w:pStyle w:val="Heading3"/>
        <w:rPr>
          <w:rFonts w:ascii="Arial" w:eastAsiaTheme="minorEastAsia" w:hAnsi="Arial" w:cs="Arial"/>
        </w:rPr>
      </w:pPr>
      <w:r w:rsidRPr="005D7EEC">
        <w:rPr>
          <w:rFonts w:ascii="Arial" w:eastAsiaTheme="minorEastAsia" w:hAnsi="Arial" w:cs="Arial"/>
        </w:rPr>
        <w:t>Key lessons</w:t>
      </w:r>
    </w:p>
    <w:p w14:paraId="72BAA49F" w14:textId="77777777" w:rsidR="009518E9" w:rsidRPr="005D7EEC" w:rsidRDefault="009518E9" w:rsidP="009518E9">
      <w:pPr>
        <w:pStyle w:val="ListParagraph"/>
        <w:numPr>
          <w:ilvl w:val="0"/>
          <w:numId w:val="2"/>
        </w:numPr>
        <w:rPr>
          <w:rFonts w:eastAsiaTheme="minorEastAsia" w:cs="Arial"/>
        </w:rPr>
      </w:pPr>
      <w:r w:rsidRPr="005D7EEC">
        <w:rPr>
          <w:rFonts w:eastAsiaTheme="minorEastAsia" w:cs="Arial"/>
        </w:rPr>
        <w:t>Chandigarh demonstrates the value of embedding design quality, green infrastructure, and liveability at the core of urban form.</w:t>
      </w:r>
    </w:p>
    <w:p w14:paraId="7D4A6CD5" w14:textId="77777777" w:rsidR="009518E9" w:rsidRPr="005D7EEC" w:rsidRDefault="009518E9" w:rsidP="009518E9">
      <w:pPr>
        <w:pStyle w:val="ListParagraph"/>
        <w:numPr>
          <w:ilvl w:val="0"/>
          <w:numId w:val="2"/>
        </w:numPr>
        <w:rPr>
          <w:rFonts w:eastAsiaTheme="minorEastAsia" w:cs="Arial"/>
        </w:rPr>
      </w:pPr>
      <w:r w:rsidRPr="005D7EEC">
        <w:rPr>
          <w:rFonts w:eastAsiaTheme="minorEastAsia" w:cs="Arial"/>
        </w:rPr>
        <w:t xml:space="preserve">Overly deterministic </w:t>
      </w:r>
      <w:proofErr w:type="spellStart"/>
      <w:r w:rsidRPr="005D7EEC">
        <w:rPr>
          <w:rFonts w:eastAsiaTheme="minorEastAsia" w:cs="Arial"/>
        </w:rPr>
        <w:t>masterplanning</w:t>
      </w:r>
      <w:proofErr w:type="spellEnd"/>
      <w:r w:rsidRPr="005D7EEC">
        <w:rPr>
          <w:rFonts w:eastAsiaTheme="minorEastAsia" w:cs="Arial"/>
        </w:rPr>
        <w:t xml:space="preserve"> can neglect local cultural and climate considerations and restrict possibilities for mixed-land use. </w:t>
      </w:r>
    </w:p>
    <w:p w14:paraId="2B3E17FF" w14:textId="77777777" w:rsidR="009518E9" w:rsidRPr="005D7EEC" w:rsidRDefault="009518E9" w:rsidP="009518E9">
      <w:pPr>
        <w:pStyle w:val="ListParagraph"/>
        <w:numPr>
          <w:ilvl w:val="0"/>
          <w:numId w:val="2"/>
        </w:numPr>
        <w:rPr>
          <w:rFonts w:eastAsiaTheme="minorEastAsia" w:cs="Arial"/>
        </w:rPr>
      </w:pPr>
      <w:r w:rsidRPr="005D7EEC">
        <w:rPr>
          <w:rFonts w:eastAsiaTheme="minorEastAsia" w:cs="Arial"/>
        </w:rPr>
        <w:t xml:space="preserve">Chandigarh exemplifies the risks of top-down leadership and the need to balance this with participatory and adaptive structures. </w:t>
      </w:r>
    </w:p>
    <w:p w14:paraId="082B6BC7" w14:textId="77777777" w:rsidR="009518E9" w:rsidRPr="005D7EEC" w:rsidRDefault="009518E9" w:rsidP="009518E9">
      <w:pPr>
        <w:pStyle w:val="Heading3"/>
        <w:rPr>
          <w:rFonts w:ascii="Arial" w:eastAsiaTheme="minorEastAsia" w:hAnsi="Arial" w:cs="Arial"/>
        </w:rPr>
      </w:pPr>
      <w:r w:rsidRPr="005D7EEC">
        <w:rPr>
          <w:rFonts w:ascii="Arial" w:eastAsiaTheme="minorEastAsia" w:hAnsi="Arial" w:cs="Arial"/>
        </w:rPr>
        <w:t>Key recommendations</w:t>
      </w:r>
    </w:p>
    <w:p w14:paraId="04D2787B" w14:textId="77777777" w:rsidR="009518E9" w:rsidRPr="005D7EEC" w:rsidRDefault="009518E9" w:rsidP="009518E9">
      <w:pPr>
        <w:pStyle w:val="ListParagraph"/>
        <w:numPr>
          <w:ilvl w:val="0"/>
          <w:numId w:val="1"/>
        </w:numPr>
        <w:rPr>
          <w:rFonts w:eastAsiaTheme="minorEastAsia" w:cs="Arial"/>
          <w:color w:val="000000" w:themeColor="text1"/>
        </w:rPr>
      </w:pPr>
      <w:r w:rsidRPr="005D7EEC">
        <w:rPr>
          <w:rFonts w:eastAsiaTheme="minorEastAsia" w:cs="Arial"/>
          <w:color w:val="000000" w:themeColor="text1"/>
        </w:rPr>
        <w:t>National and local governments should ensure strong policy alignment and stable long-term frameworks to support the delivery of new towns and strategic growth areas.</w:t>
      </w:r>
    </w:p>
    <w:p w14:paraId="1964A93A" w14:textId="77777777" w:rsidR="009518E9" w:rsidRPr="005D7EEC" w:rsidRDefault="009518E9" w:rsidP="009518E9">
      <w:pPr>
        <w:pStyle w:val="ListParagraph"/>
        <w:numPr>
          <w:ilvl w:val="0"/>
          <w:numId w:val="1"/>
        </w:numPr>
        <w:spacing w:before="220" w:after="220"/>
        <w:rPr>
          <w:rFonts w:eastAsiaTheme="minorEastAsia" w:cs="Arial"/>
          <w:color w:val="000000" w:themeColor="text1"/>
        </w:rPr>
      </w:pPr>
      <w:proofErr w:type="spellStart"/>
      <w:r w:rsidRPr="005D7EEC">
        <w:rPr>
          <w:rFonts w:eastAsiaTheme="minorEastAsia" w:cs="Arial"/>
          <w:color w:val="000000" w:themeColor="text1"/>
        </w:rPr>
        <w:lastRenderedPageBreak/>
        <w:t>Masterplanning</w:t>
      </w:r>
      <w:proofErr w:type="spellEnd"/>
      <w:r w:rsidRPr="005D7EEC">
        <w:rPr>
          <w:rFonts w:eastAsiaTheme="minorEastAsia" w:cs="Arial"/>
          <w:color w:val="000000" w:themeColor="text1"/>
        </w:rPr>
        <w:t xml:space="preserve"> should incorporate cultural and climate considerations to promote flexibility and resilience in placemaking. </w:t>
      </w:r>
    </w:p>
    <w:p w14:paraId="45BCE5CB" w14:textId="77777777" w:rsidR="009518E9" w:rsidRPr="005D7EEC" w:rsidRDefault="009518E9" w:rsidP="009518E9">
      <w:pPr>
        <w:pStyle w:val="ListParagraph"/>
        <w:numPr>
          <w:ilvl w:val="0"/>
          <w:numId w:val="1"/>
        </w:numPr>
        <w:rPr>
          <w:rFonts w:eastAsia="Arial" w:cs="Arial"/>
          <w:color w:val="000000" w:themeColor="text1"/>
        </w:rPr>
      </w:pPr>
      <w:r w:rsidRPr="005D7EEC">
        <w:rPr>
          <w:rFonts w:eastAsiaTheme="minorEastAsia" w:cs="Arial"/>
          <w:color w:val="000000" w:themeColor="text1"/>
        </w:rPr>
        <w:t>Governance models for new towns globally should encourage both strategic coordination and opportunities for community participation in shaping long-term development.</w:t>
      </w:r>
      <w:r w:rsidRPr="005D7EEC">
        <w:rPr>
          <w:rFonts w:cs="Arial"/>
        </w:rPr>
        <w:br/>
      </w:r>
    </w:p>
    <w:p w14:paraId="7AC880C6" w14:textId="5EAA0B1B" w:rsidR="009518E9" w:rsidRPr="005D7EEC" w:rsidRDefault="00057D7F" w:rsidP="00CE5506">
      <w:pPr>
        <w:pStyle w:val="Heading2"/>
        <w:rPr>
          <w:rFonts w:cs="Arial"/>
        </w:rPr>
      </w:pPr>
      <w:r w:rsidRPr="005D7EEC">
        <w:rPr>
          <w:rFonts w:cs="Arial"/>
        </w:rPr>
        <w:t xml:space="preserve">5.2 </w:t>
      </w:r>
      <w:r w:rsidR="009518E9" w:rsidRPr="005D7EEC">
        <w:rPr>
          <w:rFonts w:cs="Arial"/>
        </w:rPr>
        <w:t xml:space="preserve">Overview </w:t>
      </w:r>
    </w:p>
    <w:p w14:paraId="3A18A7EE" w14:textId="24FE2A80" w:rsidR="009518E9" w:rsidRPr="005D7EEC" w:rsidRDefault="009518E9" w:rsidP="009518E9">
      <w:pPr>
        <w:rPr>
          <w:rFonts w:cs="Arial"/>
        </w:rPr>
      </w:pPr>
      <w:r w:rsidRPr="005D7EEC">
        <w:rPr>
          <w:rFonts w:cs="Arial"/>
        </w:rPr>
        <w:t>The Indian city of Chandigarh holds a unique place in the history of urban planning as one of India’s first post-independence planned cities</w:t>
      </w:r>
      <w:r w:rsidRPr="005D7EEC">
        <w:rPr>
          <w:rStyle w:val="EndnoteReference"/>
          <w:rFonts w:cs="Arial"/>
        </w:rPr>
        <w:endnoteReference w:id="98"/>
      </w:r>
      <w:r w:rsidRPr="005D7EEC">
        <w:rPr>
          <w:rFonts w:cs="Arial"/>
        </w:rPr>
        <w:t>. Replacing the Punjabi capital of Lahore after Partition, Chandigarh became the shared capital of both Punjab and Haryana. When the state was recognised on 1 November 1966, Chandigarh became a Union Territory</w:t>
      </w:r>
      <w:r w:rsidRPr="005D7EEC">
        <w:rPr>
          <w:rStyle w:val="EndnoteReference"/>
          <w:rFonts w:cs="Arial"/>
        </w:rPr>
        <w:endnoteReference w:id="99"/>
      </w:r>
      <w:r w:rsidRPr="005D7EEC">
        <w:rPr>
          <w:rFonts w:cs="Arial"/>
        </w:rPr>
        <w:t>, an administrative arrangement that further amplified its symbolic status. Jawaharlal Nehru, independent India’s first Prime Minister referred to Chandigarh as a “new town, symbolic of the freedom of India unfettered by the traditions of the past, an expression of the nation’s faith in the future”</w:t>
      </w:r>
      <w:r w:rsidRPr="005D7EEC">
        <w:rPr>
          <w:rStyle w:val="EndnoteReference"/>
          <w:rFonts w:cs="Arial"/>
        </w:rPr>
        <w:endnoteReference w:id="100"/>
      </w:r>
      <w:r w:rsidRPr="005D7EEC">
        <w:rPr>
          <w:rFonts w:cs="Arial"/>
        </w:rPr>
        <w:t xml:space="preserve">. </w:t>
      </w:r>
    </w:p>
    <w:p w14:paraId="5EEF17EC" w14:textId="77777777" w:rsidR="009518E9" w:rsidRPr="005D7EEC" w:rsidRDefault="009518E9" w:rsidP="009518E9">
      <w:pPr>
        <w:rPr>
          <w:rFonts w:cs="Arial"/>
        </w:rPr>
      </w:pPr>
      <w:r w:rsidRPr="005D7EEC">
        <w:rPr>
          <w:rFonts w:cs="Arial"/>
          <w:noProof/>
        </w:rPr>
        <w:drawing>
          <wp:inline distT="0" distB="0" distL="0" distR="0" wp14:anchorId="6C7797DD" wp14:editId="3FC37BA0">
            <wp:extent cx="3416198" cy="3770866"/>
            <wp:effectExtent l="0" t="0" r="0" b="1270"/>
            <wp:docPr id="1565619956" name="drawing" descr="Photograph of a concrete monument sculpture of a semi-abstract, geometric hand, opened wide, facing upwards, on a pole above a tall rectangular plinth. Situated within a park with trees in the distance and a broken path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56" name="drawing" descr="Photograph of a concrete monument sculpture of a semi-abstract, geometric hand, opened wide, facing upwards, on a pole above a tall rectangular plinth. Situated within a park with trees in the distance and a broken path in the foreground."/>
                    <pic:cNvPicPr/>
                  </pic:nvPicPr>
                  <pic:blipFill>
                    <a:blip r:embed="rId36" cstate="screen">
                      <a:extLst>
                        <a:ext uri="{28A0092B-C50C-407E-A947-70E740481C1C}">
                          <a14:useLocalDpi xmlns:a14="http://schemas.microsoft.com/office/drawing/2010/main"/>
                        </a:ext>
                      </a:extLst>
                    </a:blip>
                    <a:stretch>
                      <a:fillRect/>
                    </a:stretch>
                  </pic:blipFill>
                  <pic:spPr>
                    <a:xfrm>
                      <a:off x="0" y="0"/>
                      <a:ext cx="3447475" cy="3805390"/>
                    </a:xfrm>
                    <a:prstGeom prst="rect">
                      <a:avLst/>
                    </a:prstGeom>
                  </pic:spPr>
                </pic:pic>
              </a:graphicData>
            </a:graphic>
          </wp:inline>
        </w:drawing>
      </w:r>
    </w:p>
    <w:p w14:paraId="157596FF" w14:textId="77777777" w:rsidR="009518E9" w:rsidRPr="005D7EEC" w:rsidRDefault="009518E9" w:rsidP="009518E9">
      <w:pPr>
        <w:rPr>
          <w:rFonts w:cs="Arial"/>
          <w:i/>
        </w:rPr>
      </w:pPr>
      <w:r w:rsidRPr="005D7EEC">
        <w:rPr>
          <w:rFonts w:cs="Arial"/>
          <w:i/>
        </w:rPr>
        <w:lastRenderedPageBreak/>
        <w:t>Figure 4.1: Open hand monument, Chandigarh, photograph by John Sturzaker</w:t>
      </w:r>
    </w:p>
    <w:p w14:paraId="5B2E7B71" w14:textId="77777777" w:rsidR="009518E9" w:rsidRPr="005D7EEC" w:rsidRDefault="009518E9" w:rsidP="009518E9">
      <w:pPr>
        <w:rPr>
          <w:rFonts w:cs="Arial"/>
        </w:rPr>
      </w:pPr>
    </w:p>
    <w:p w14:paraId="214290D8" w14:textId="77777777" w:rsidR="009518E9" w:rsidRPr="005D7EEC" w:rsidRDefault="009518E9" w:rsidP="009518E9">
      <w:pPr>
        <w:rPr>
          <w:rFonts w:cs="Arial"/>
        </w:rPr>
      </w:pPr>
      <w:r w:rsidRPr="005D7EEC">
        <w:rPr>
          <w:rFonts w:cs="Arial"/>
        </w:rPr>
        <w:t>Chandigarh thus emerged as a statement of postcolonial modernity as opposed to a continuation of more traditional urban forms. Academics have discussed the significance of Chandigarh outside of the Indian planning context and have referred to it as “one of the twentieth century’s globally significant city building experiments”</w:t>
      </w:r>
      <w:r w:rsidRPr="005D7EEC">
        <w:rPr>
          <w:rStyle w:val="EndnoteReference"/>
          <w:rFonts w:cs="Arial"/>
        </w:rPr>
        <w:endnoteReference w:id="101"/>
      </w:r>
      <w:r w:rsidRPr="005D7EEC">
        <w:rPr>
          <w:rFonts w:cs="Arial"/>
        </w:rPr>
        <w:t>.</w:t>
      </w:r>
    </w:p>
    <w:p w14:paraId="11BB6C70" w14:textId="77777777" w:rsidR="009518E9" w:rsidRPr="005D7EEC" w:rsidRDefault="009518E9" w:rsidP="009518E9">
      <w:pPr>
        <w:rPr>
          <w:rFonts w:cs="Arial"/>
        </w:rPr>
      </w:pPr>
      <w:r w:rsidRPr="005D7EEC">
        <w:rPr>
          <w:rFonts w:cs="Arial"/>
        </w:rPr>
        <w:t>Two plans were prepared for Chandigarh</w:t>
      </w:r>
      <w:r w:rsidRPr="005D7EEC">
        <w:rPr>
          <w:rStyle w:val="EndnoteReference"/>
          <w:rFonts w:cs="Arial"/>
        </w:rPr>
        <w:endnoteReference w:id="102"/>
      </w:r>
      <w:r w:rsidRPr="005D7EEC">
        <w:rPr>
          <w:rFonts w:cs="Arial"/>
        </w:rPr>
        <w:t>. The first was prepared by Albert Mayer, an American architect-planner and Polish architect Maciej Nowitzki (more famously known as Nowicki). The</w:t>
      </w:r>
      <w:r w:rsidRPr="005D7EEC" w:rsidDel="00705050">
        <w:rPr>
          <w:rFonts w:cs="Arial"/>
        </w:rPr>
        <w:t xml:space="preserve"> </w:t>
      </w:r>
      <w:r w:rsidRPr="005D7EEC">
        <w:rPr>
          <w:rFonts w:cs="Arial"/>
        </w:rPr>
        <w:t>second was designed by controversial Swiss-French architect Le Corbusier and his team of Swiss architect Pierre Jeanneret, English architect Maxwell Fry and English architect and town planner Jane Drew. It is thought that the Mayer team were replaced by Le Corbusier due to Nowicki’s death in 1950, along with the increasing value of the American dollar</w:t>
      </w:r>
      <w:r w:rsidRPr="005D7EEC">
        <w:rPr>
          <w:rStyle w:val="EndnoteReference"/>
          <w:rFonts w:cs="Arial"/>
        </w:rPr>
        <w:endnoteReference w:id="103"/>
      </w:r>
      <w:r w:rsidRPr="005D7EEC">
        <w:rPr>
          <w:rFonts w:cs="Arial"/>
        </w:rPr>
        <w:t xml:space="preserve">. </w:t>
      </w:r>
    </w:p>
    <w:p w14:paraId="35540693" w14:textId="4CEA9CF6" w:rsidR="009518E9" w:rsidRPr="005D7EEC" w:rsidRDefault="009518E9" w:rsidP="009518E9">
      <w:pPr>
        <w:rPr>
          <w:rFonts w:cs="Arial"/>
        </w:rPr>
      </w:pPr>
      <w:r w:rsidRPr="005D7EEC">
        <w:rPr>
          <w:rFonts w:cs="Arial"/>
        </w:rPr>
        <w:t>Despite complexity in the historical and political context of the city and in its planning, Chandigarh was built quickly. It was inaugurated in 1953, with main infrastructure complete by the 1960s</w:t>
      </w:r>
      <w:r w:rsidRPr="005D7EEC">
        <w:rPr>
          <w:rStyle w:val="EndnoteReference"/>
          <w:rFonts w:cs="Arial"/>
        </w:rPr>
        <w:endnoteReference w:id="104"/>
      </w:r>
      <w:r w:rsidRPr="005D7EEC">
        <w:rPr>
          <w:rFonts w:cs="Arial"/>
        </w:rPr>
        <w:t>.</w:t>
      </w:r>
    </w:p>
    <w:p w14:paraId="738D11B6" w14:textId="77777777" w:rsidR="009518E9" w:rsidRPr="005D7EEC" w:rsidRDefault="009518E9" w:rsidP="009518E9">
      <w:pPr>
        <w:jc w:val="both"/>
        <w:rPr>
          <w:rFonts w:cs="Arial"/>
        </w:rPr>
      </w:pPr>
      <w:r w:rsidRPr="005D7EEC">
        <w:rPr>
          <w:rFonts w:cs="Arial"/>
          <w:noProof/>
        </w:rPr>
        <w:drawing>
          <wp:inline distT="0" distB="0" distL="0" distR="0" wp14:anchorId="6F9E3D03" wp14:editId="15963D89">
            <wp:extent cx="3829050" cy="2550384"/>
            <wp:effectExtent l="0" t="0" r="0" b="0"/>
            <wp:docPr id="853150172" name="drawing" descr="A weathered sign showing a detailed, colour-coded map, including buildings and their function. On the right is a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50172" name="drawing" descr="A weathered sign showing a detailed, colour-coded map, including buildings and their function. On the right is a legend."/>
                    <pic:cNvPicPr/>
                  </pic:nvPicPr>
                  <pic:blipFill>
                    <a:blip r:embed="rId37" cstate="screen">
                      <a:extLst>
                        <a:ext uri="{28A0092B-C50C-407E-A947-70E740481C1C}">
                          <a14:useLocalDpi xmlns:a14="http://schemas.microsoft.com/office/drawing/2010/main"/>
                        </a:ext>
                      </a:extLst>
                    </a:blip>
                    <a:stretch>
                      <a:fillRect/>
                    </a:stretch>
                  </pic:blipFill>
                  <pic:spPr>
                    <a:xfrm>
                      <a:off x="0" y="0"/>
                      <a:ext cx="3829050" cy="2550384"/>
                    </a:xfrm>
                    <a:prstGeom prst="rect">
                      <a:avLst/>
                    </a:prstGeom>
                  </pic:spPr>
                </pic:pic>
              </a:graphicData>
            </a:graphic>
          </wp:inline>
        </w:drawing>
      </w:r>
    </w:p>
    <w:p w14:paraId="05ED6AEE" w14:textId="77777777" w:rsidR="009518E9" w:rsidRPr="005D7EEC" w:rsidRDefault="009518E9" w:rsidP="009518E9">
      <w:pPr>
        <w:rPr>
          <w:rFonts w:cs="Arial"/>
          <w:i/>
        </w:rPr>
      </w:pPr>
      <w:r w:rsidRPr="005D7EEC">
        <w:rPr>
          <w:rFonts w:cs="Arial"/>
          <w:i/>
        </w:rPr>
        <w:lastRenderedPageBreak/>
        <w:t>Figure 4.2: Layout plan of sector 17 (the central sector), photograph by John Sturzaker</w:t>
      </w:r>
    </w:p>
    <w:p w14:paraId="5761DF62" w14:textId="2128A441" w:rsidR="009518E9" w:rsidRPr="005D7EEC" w:rsidRDefault="00057D7F" w:rsidP="00CE5506">
      <w:pPr>
        <w:pStyle w:val="Heading2"/>
        <w:rPr>
          <w:rFonts w:cs="Arial"/>
        </w:rPr>
      </w:pPr>
      <w:r w:rsidRPr="005D7EEC">
        <w:rPr>
          <w:rFonts w:cs="Arial"/>
        </w:rPr>
        <w:t xml:space="preserve">5.3 </w:t>
      </w:r>
      <w:r w:rsidR="009518E9" w:rsidRPr="005D7EEC">
        <w:rPr>
          <w:rFonts w:cs="Arial"/>
        </w:rPr>
        <w:t>Planning frameworks</w:t>
      </w:r>
    </w:p>
    <w:p w14:paraId="60C397E7" w14:textId="77777777" w:rsidR="009518E9" w:rsidRPr="005D7EEC" w:rsidRDefault="009518E9" w:rsidP="009518E9">
      <w:pPr>
        <w:rPr>
          <w:rFonts w:cs="Arial"/>
        </w:rPr>
      </w:pPr>
      <w:r w:rsidRPr="005D7EEC">
        <w:rPr>
          <w:rFonts w:cs="Arial"/>
        </w:rPr>
        <w:t>Rooted in Modernist planning ideals, Chandigarh was divided into sectors which contained amenities and promoted walkability while accommodating the automobile</w:t>
      </w:r>
      <w:r w:rsidRPr="005D7EEC">
        <w:rPr>
          <w:rStyle w:val="EndnoteReference"/>
          <w:rFonts w:cs="Arial"/>
        </w:rPr>
        <w:endnoteReference w:id="105"/>
      </w:r>
      <w:r w:rsidRPr="005D7EEC">
        <w:rPr>
          <w:rFonts w:cs="Arial"/>
        </w:rPr>
        <w:t>. Le Corbusier used the metaphor of the body to describe the layout of the city. The ‘“head’” houses the Capitol Complex with key governmental and administrative buildings; the ‘“heart’” encompasses the commercial Sector 17; and the “lungs” are green spaces integrated throughout the city</w:t>
      </w:r>
      <w:r w:rsidRPr="005D7EEC">
        <w:rPr>
          <w:rStyle w:val="EndnoteReference"/>
          <w:rFonts w:cs="Arial"/>
        </w:rPr>
        <w:endnoteReference w:id="106"/>
      </w:r>
      <w:r w:rsidRPr="005D7EEC">
        <w:rPr>
          <w:rFonts w:cs="Arial"/>
        </w:rPr>
        <w:t xml:space="preserve">. </w:t>
      </w:r>
    </w:p>
    <w:p w14:paraId="4AA768EF" w14:textId="77777777" w:rsidR="009518E9" w:rsidRPr="005D7EEC" w:rsidRDefault="009518E9" w:rsidP="009518E9">
      <w:pPr>
        <w:rPr>
          <w:rFonts w:cs="Arial"/>
        </w:rPr>
      </w:pPr>
      <w:r w:rsidRPr="005D7EEC">
        <w:rPr>
          <w:rFonts w:cs="Arial"/>
        </w:rPr>
        <w:t>Chandigarh is a highly significant case study of a new town, as it demonstrates both the ambitions and limitations of modernist urban planning. While the city is often praised for the clarity of its urban form</w:t>
      </w:r>
      <w:r w:rsidRPr="005D7EEC">
        <w:rPr>
          <w:rStyle w:val="EndnoteReference"/>
          <w:rFonts w:cs="Arial"/>
        </w:rPr>
        <w:endnoteReference w:id="107"/>
      </w:r>
      <w:r w:rsidRPr="005D7EEC">
        <w:rPr>
          <w:rFonts w:cs="Arial"/>
        </w:rPr>
        <w:t>, green spaces</w:t>
      </w:r>
      <w:r w:rsidRPr="005D7EEC">
        <w:rPr>
          <w:rStyle w:val="EndnoteReference"/>
          <w:rFonts w:cs="Arial"/>
        </w:rPr>
        <w:endnoteReference w:id="108"/>
      </w:r>
      <w:r w:rsidRPr="005D7EEC">
        <w:rPr>
          <w:rFonts w:cs="Arial"/>
        </w:rPr>
        <w:t>, and iconic architecture</w:t>
      </w:r>
      <w:r w:rsidRPr="005D7EEC">
        <w:rPr>
          <w:rStyle w:val="EndnoteReference"/>
          <w:rFonts w:cs="Arial"/>
        </w:rPr>
        <w:endnoteReference w:id="109"/>
      </w:r>
      <w:r w:rsidRPr="005D7EEC">
        <w:rPr>
          <w:rFonts w:cs="Arial"/>
        </w:rPr>
        <w:t>, it has been criticised for being culturally dissonant and alienating</w:t>
      </w:r>
      <w:r w:rsidRPr="005D7EEC">
        <w:rPr>
          <w:rStyle w:val="EndnoteReference"/>
          <w:rFonts w:cs="Arial"/>
        </w:rPr>
        <w:endnoteReference w:id="110"/>
      </w:r>
      <w:r w:rsidRPr="005D7EEC">
        <w:rPr>
          <w:rFonts w:cs="Arial"/>
        </w:rPr>
        <w:t xml:space="preserve">, and lacking the vibrancy of traditional Indian cities. There are considerable factors that limit the transferability of lessons from Chandigarh to many other contexts, namely, its political and historical context, climate, and elements of its planning that are unlikely to be replicated in the present day. However, Chandigarh offers a range of lessons crucial to the development of new towns, such as the risks of overly deterministic </w:t>
      </w:r>
      <w:proofErr w:type="spellStart"/>
      <w:r w:rsidRPr="005D7EEC">
        <w:rPr>
          <w:rFonts w:cs="Arial"/>
        </w:rPr>
        <w:t>masterplanning</w:t>
      </w:r>
      <w:proofErr w:type="spellEnd"/>
      <w:r w:rsidRPr="005D7EEC">
        <w:rPr>
          <w:rFonts w:cs="Arial"/>
        </w:rPr>
        <w:t>.</w:t>
      </w:r>
    </w:p>
    <w:p w14:paraId="057630D6" w14:textId="77777777" w:rsidR="009518E9" w:rsidRPr="005D7EEC" w:rsidRDefault="009518E9" w:rsidP="009518E9">
      <w:pPr>
        <w:jc w:val="both"/>
        <w:rPr>
          <w:rFonts w:cs="Arial"/>
        </w:rPr>
      </w:pPr>
      <w:r w:rsidRPr="005D7EEC">
        <w:rPr>
          <w:rFonts w:cs="Arial"/>
          <w:noProof/>
        </w:rPr>
        <w:lastRenderedPageBreak/>
        <w:drawing>
          <wp:inline distT="0" distB="0" distL="0" distR="0" wp14:anchorId="6334CA61" wp14:editId="6FC28C88">
            <wp:extent cx="3845967" cy="2886075"/>
            <wp:effectExtent l="0" t="0" r="0" b="0"/>
            <wp:docPr id="1295575740" name="drawing" descr="A large sign showing a map which indicated the spatial arrangement of numbered sectors within Chandigarh, as well as other adjacent destinations and transport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75740" name="drawing" descr="A large sign showing a map which indicated the spatial arrangement of numbered sectors within Chandigarh, as well as other adjacent destinations and transport connections."/>
                    <pic:cNvPicPr/>
                  </pic:nvPicPr>
                  <pic:blipFill>
                    <a:blip r:embed="rId38" cstate="screen">
                      <a:extLst>
                        <a:ext uri="{28A0092B-C50C-407E-A947-70E740481C1C}">
                          <a14:useLocalDpi xmlns:a14="http://schemas.microsoft.com/office/drawing/2010/main"/>
                        </a:ext>
                      </a:extLst>
                    </a:blip>
                    <a:stretch>
                      <a:fillRect/>
                    </a:stretch>
                  </pic:blipFill>
                  <pic:spPr>
                    <a:xfrm>
                      <a:off x="0" y="0"/>
                      <a:ext cx="3845967" cy="2886075"/>
                    </a:xfrm>
                    <a:prstGeom prst="rect">
                      <a:avLst/>
                    </a:prstGeom>
                  </pic:spPr>
                </pic:pic>
              </a:graphicData>
            </a:graphic>
          </wp:inline>
        </w:drawing>
      </w:r>
    </w:p>
    <w:p w14:paraId="223C2569" w14:textId="77777777" w:rsidR="009518E9" w:rsidRPr="005D7EEC" w:rsidRDefault="009518E9" w:rsidP="009518E9">
      <w:pPr>
        <w:rPr>
          <w:rFonts w:cs="Arial"/>
          <w:i/>
        </w:rPr>
      </w:pPr>
      <w:r w:rsidRPr="005D7EEC">
        <w:rPr>
          <w:rFonts w:cs="Arial"/>
          <w:i/>
        </w:rPr>
        <w:t xml:space="preserve">Figure 4.3: Guide map of sectors in Chandigarh, photograph by John Sturzaker </w:t>
      </w:r>
    </w:p>
    <w:p w14:paraId="132366EA" w14:textId="220D18D9" w:rsidR="009518E9" w:rsidRPr="005D7EEC" w:rsidRDefault="00057D7F" w:rsidP="00CE5506">
      <w:pPr>
        <w:pStyle w:val="Heading2"/>
        <w:rPr>
          <w:rFonts w:cs="Arial"/>
        </w:rPr>
      </w:pPr>
      <w:r w:rsidRPr="005D7EEC">
        <w:rPr>
          <w:rFonts w:cs="Arial"/>
        </w:rPr>
        <w:t xml:space="preserve">5.4 </w:t>
      </w:r>
      <w:r w:rsidR="009518E9" w:rsidRPr="005D7EEC">
        <w:rPr>
          <w:rFonts w:cs="Arial"/>
        </w:rPr>
        <w:t>Governance structures</w:t>
      </w:r>
    </w:p>
    <w:p w14:paraId="502FEB0F" w14:textId="77777777" w:rsidR="009518E9" w:rsidRPr="005D7EEC" w:rsidRDefault="009518E9" w:rsidP="009518E9">
      <w:pPr>
        <w:rPr>
          <w:rFonts w:eastAsia="Aptos" w:cs="Arial"/>
        </w:rPr>
      </w:pPr>
      <w:r w:rsidRPr="005D7EEC">
        <w:rPr>
          <w:rFonts w:eastAsia="Aptos" w:cs="Arial"/>
        </w:rPr>
        <w:t xml:space="preserve">The governance and implementation of Chandigarh’s plan were closely tied to India’s early post-independence political context. The project was backed by central government and Prime Minister Nehru’s vision of modernisation through planning and architecture. This strong state-led approach enabled fast delivery of infrastructure in Chandigarh. However, it also limited opportunities for local participation and adaptation over time. </w:t>
      </w:r>
    </w:p>
    <w:p w14:paraId="5959864C" w14:textId="77777777" w:rsidR="009518E9" w:rsidRPr="005D7EEC" w:rsidRDefault="009518E9" w:rsidP="009518E9">
      <w:pPr>
        <w:rPr>
          <w:rFonts w:eastAsia="Aptos" w:cs="Arial"/>
        </w:rPr>
      </w:pPr>
      <w:r w:rsidRPr="005D7EEC">
        <w:rPr>
          <w:rFonts w:eastAsia="Aptos" w:cs="Arial"/>
        </w:rPr>
        <w:t>Chandigarh exemplifies the modernist planning approaches of its era, where centralised governance and visionary design were seen as vehicles for progress. Its development illustrates both the strengths and constraints of this model. It highlights the need to balance strong, directive leadership with flexibility, inclusivity and sensitivity to local socio-cultural conditions.</w:t>
      </w:r>
    </w:p>
    <w:p w14:paraId="4987FA87" w14:textId="77777777" w:rsidR="009518E9" w:rsidRPr="005D7EEC" w:rsidRDefault="009518E9" w:rsidP="009518E9">
      <w:pPr>
        <w:rPr>
          <w:rFonts w:cs="Arial"/>
        </w:rPr>
      </w:pPr>
      <w:r w:rsidRPr="005D7EEC">
        <w:rPr>
          <w:rFonts w:cs="Arial"/>
          <w:noProof/>
        </w:rPr>
        <w:lastRenderedPageBreak/>
        <w:drawing>
          <wp:inline distT="0" distB="0" distL="0" distR="0" wp14:anchorId="1AA7E6A7" wp14:editId="074B532D">
            <wp:extent cx="4038600" cy="2265219"/>
            <wp:effectExtent l="0" t="0" r="0" b="1905"/>
            <wp:docPr id="793785390" name="drawing" descr="Photograph shows a plaza with numerous pedestrians, one cyclist, some trees. Buildings of 5 storeys are supported by tall external columns. Ground level shops appear busy and upper floors may also be deck-access and used by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5390" name="drawing" descr="Photograph shows a plaza with numerous pedestrians, one cyclist, some trees. Buildings of 5 storeys are supported by tall external columns. Ground level shops appear busy and upper floors may also be deck-access and used by businesses."/>
                    <pic:cNvPicPr/>
                  </pic:nvPicPr>
                  <pic:blipFill>
                    <a:blip r:embed="rId39" cstate="screen">
                      <a:extLst>
                        <a:ext uri="{28A0092B-C50C-407E-A947-70E740481C1C}">
                          <a14:useLocalDpi xmlns:a14="http://schemas.microsoft.com/office/drawing/2010/main"/>
                        </a:ext>
                      </a:extLst>
                    </a:blip>
                    <a:stretch>
                      <a:fillRect/>
                    </a:stretch>
                  </pic:blipFill>
                  <pic:spPr>
                    <a:xfrm>
                      <a:off x="0" y="0"/>
                      <a:ext cx="4049519" cy="2271343"/>
                    </a:xfrm>
                    <a:prstGeom prst="rect">
                      <a:avLst/>
                    </a:prstGeom>
                  </pic:spPr>
                </pic:pic>
              </a:graphicData>
            </a:graphic>
          </wp:inline>
        </w:drawing>
      </w:r>
    </w:p>
    <w:p w14:paraId="00A2FAF8" w14:textId="77777777" w:rsidR="009518E9" w:rsidRPr="005D7EEC" w:rsidRDefault="009518E9" w:rsidP="009518E9">
      <w:pPr>
        <w:rPr>
          <w:rFonts w:cs="Arial"/>
          <w:i/>
        </w:rPr>
      </w:pPr>
      <w:r w:rsidRPr="005D7EEC">
        <w:rPr>
          <w:rFonts w:cs="Arial"/>
          <w:i/>
        </w:rPr>
        <w:t>Figure 4.4: Punjab and Haryana High Court, Chandigarh, designed by Le Corbusier, photograph by John Sturzaker</w:t>
      </w:r>
    </w:p>
    <w:p w14:paraId="07829B1E" w14:textId="6D851C4F" w:rsidR="009518E9" w:rsidRPr="005D7EEC" w:rsidRDefault="00057D7F" w:rsidP="00CE5506">
      <w:pPr>
        <w:pStyle w:val="Heading2"/>
        <w:rPr>
          <w:rFonts w:cs="Arial"/>
        </w:rPr>
      </w:pPr>
      <w:r w:rsidRPr="005D7EEC">
        <w:rPr>
          <w:rFonts w:cs="Arial"/>
        </w:rPr>
        <w:t xml:space="preserve">5.5 </w:t>
      </w:r>
      <w:r w:rsidR="009518E9" w:rsidRPr="005D7EEC">
        <w:rPr>
          <w:rFonts w:cs="Arial"/>
        </w:rPr>
        <w:t>Adaptability and flexibility: Levers and barriers</w:t>
      </w:r>
    </w:p>
    <w:p w14:paraId="38858905" w14:textId="77777777" w:rsidR="009518E9" w:rsidRPr="005D7EEC" w:rsidRDefault="009518E9" w:rsidP="009518E9">
      <w:pPr>
        <w:rPr>
          <w:rFonts w:cs="Arial"/>
        </w:rPr>
      </w:pPr>
      <w:r w:rsidRPr="005D7EEC">
        <w:rPr>
          <w:rFonts w:cs="Arial"/>
        </w:rPr>
        <w:t>Chandigarh’s urban planning demonstrates both remarkable achievements and notable limitations. Chandigarh has a sector system of self-contained neighbourhoods which are intended to provide residential, civic, and commercial facilities. Sectors are 800m</w:t>
      </w:r>
      <w:r w:rsidRPr="005D7EEC" w:rsidDel="00267078">
        <w:rPr>
          <w:rFonts w:cs="Arial"/>
        </w:rPr>
        <w:t xml:space="preserve"> </w:t>
      </w:r>
      <w:r w:rsidRPr="005D7EEC">
        <w:rPr>
          <w:rFonts w:cs="Arial"/>
        </w:rPr>
        <w:t>by 1200m</w:t>
      </w:r>
      <w:r w:rsidRPr="005D7EEC">
        <w:rPr>
          <w:rStyle w:val="EndnoteReference"/>
          <w:rFonts w:cs="Arial"/>
        </w:rPr>
        <w:endnoteReference w:id="111"/>
      </w:r>
      <w:r w:rsidRPr="005D7EEC">
        <w:rPr>
          <w:rFonts w:cs="Arial"/>
        </w:rPr>
        <w:t xml:space="preserve"> in size, and were designed to be </w:t>
      </w:r>
      <w:r w:rsidRPr="005D7EEC" w:rsidDel="00267078">
        <w:rPr>
          <w:rFonts w:cs="Arial"/>
        </w:rPr>
        <w:t>self</w:t>
      </w:r>
      <w:r w:rsidRPr="005D7EEC">
        <w:rPr>
          <w:rFonts w:cs="Arial"/>
        </w:rPr>
        <w:t>-sufficient, containing “housing, schools, health centres, places of recreations and worship and a marketplace”</w:t>
      </w:r>
      <w:r w:rsidRPr="005D7EEC">
        <w:rPr>
          <w:rStyle w:val="EndnoteReference"/>
          <w:rFonts w:cs="Arial"/>
        </w:rPr>
        <w:t xml:space="preserve"> </w:t>
      </w:r>
      <w:r w:rsidRPr="005D7EEC">
        <w:rPr>
          <w:rStyle w:val="EndnoteReference"/>
          <w:rFonts w:cs="Arial"/>
        </w:rPr>
        <w:endnoteReference w:id="112"/>
      </w:r>
      <w:r w:rsidRPr="005D7EEC">
        <w:rPr>
          <w:rFonts w:cs="Arial"/>
        </w:rPr>
        <w:t>. However, the self-sufficiency of sectors has been questioned, as academics have noted that residents are “forced to go elsewhere for their shopping”</w:t>
      </w:r>
      <w:r w:rsidRPr="005D7EEC">
        <w:rPr>
          <w:rStyle w:val="EndnoteReference"/>
          <w:rFonts w:cs="Arial"/>
        </w:rPr>
        <w:t xml:space="preserve"> </w:t>
      </w:r>
      <w:r w:rsidRPr="005D7EEC">
        <w:rPr>
          <w:rStyle w:val="EndnoteReference"/>
          <w:rFonts w:cs="Arial"/>
        </w:rPr>
        <w:endnoteReference w:id="113"/>
      </w:r>
      <w:r w:rsidRPr="005D7EEC">
        <w:rPr>
          <w:rFonts w:cs="Arial"/>
        </w:rPr>
        <w:t>. The urban environment of Chandigarh is highly organised and contains an “integrated network of seven types of roads”</w:t>
      </w:r>
      <w:r w:rsidRPr="005D7EEC">
        <w:rPr>
          <w:rStyle w:val="EndnoteReference"/>
          <w:rFonts w:cs="Arial"/>
        </w:rPr>
        <w:t xml:space="preserve"> </w:t>
      </w:r>
      <w:r w:rsidRPr="005D7EEC">
        <w:rPr>
          <w:rStyle w:val="EndnoteReference"/>
          <w:rFonts w:cs="Arial"/>
        </w:rPr>
        <w:endnoteReference w:id="114"/>
      </w:r>
      <w:r w:rsidRPr="005D7EEC">
        <w:rPr>
          <w:rFonts w:cs="Arial"/>
        </w:rPr>
        <w:t xml:space="preserve">. </w:t>
      </w:r>
    </w:p>
    <w:p w14:paraId="75E64FDB" w14:textId="77777777" w:rsidR="009518E9" w:rsidRPr="005D7EEC" w:rsidRDefault="009518E9" w:rsidP="009518E9">
      <w:pPr>
        <w:rPr>
          <w:rFonts w:cs="Arial"/>
        </w:rPr>
      </w:pPr>
      <w:r w:rsidRPr="005D7EEC">
        <w:rPr>
          <w:rFonts w:cs="Arial"/>
        </w:rPr>
        <w:t>Despite efforts to keep road networks away from pedestrian routes, the walkability of Chandigarh is problematic. A 2025 study of the central business area, Sector 17, and adjacent sectors 8, 9, 10, 16, 18, 21, 22, and 23 found that there were significant obstacles to walkability</w:t>
      </w:r>
      <w:r w:rsidRPr="005D7EEC">
        <w:rPr>
          <w:rStyle w:val="EndnoteReference"/>
          <w:rFonts w:cs="Arial"/>
        </w:rPr>
        <w:endnoteReference w:id="115"/>
      </w:r>
      <w:r w:rsidRPr="005D7EEC">
        <w:rPr>
          <w:rFonts w:cs="Arial"/>
        </w:rPr>
        <w:t>. Some of these obstacles are directly related to the planning and the maintenance of the city. This includes:</w:t>
      </w:r>
    </w:p>
    <w:p w14:paraId="1F926E36" w14:textId="77777777" w:rsidR="009518E9" w:rsidRPr="005D7EEC" w:rsidRDefault="009518E9" w:rsidP="009518E9">
      <w:pPr>
        <w:ind w:left="720" w:firstLine="30"/>
        <w:rPr>
          <w:rFonts w:cs="Arial"/>
        </w:rPr>
      </w:pPr>
      <w:r w:rsidRPr="005D7EEC">
        <w:rPr>
          <w:rFonts w:cs="Arial"/>
        </w:rPr>
        <w:t>“obstructed and poorly marked zebra crossings, poorly maintained, discontinuous and obstructed sidewalks (footpaths), single-use zoning with scattered services, and limited crossing time intervals”</w:t>
      </w:r>
      <w:r w:rsidRPr="005D7EEC">
        <w:rPr>
          <w:rStyle w:val="EndnoteReference"/>
          <w:rFonts w:cs="Arial"/>
        </w:rPr>
        <w:endnoteReference w:id="116"/>
      </w:r>
      <w:r w:rsidRPr="005D7EEC">
        <w:rPr>
          <w:rFonts w:cs="Arial"/>
        </w:rPr>
        <w:t>.</w:t>
      </w:r>
    </w:p>
    <w:p w14:paraId="4F9AC597" w14:textId="77777777" w:rsidR="009518E9" w:rsidRPr="005D7EEC" w:rsidRDefault="009518E9" w:rsidP="009518E9">
      <w:pPr>
        <w:rPr>
          <w:rFonts w:cs="Arial"/>
        </w:rPr>
      </w:pPr>
      <w:r w:rsidRPr="005D7EEC">
        <w:rPr>
          <w:rFonts w:cs="Arial"/>
        </w:rPr>
        <w:lastRenderedPageBreak/>
        <w:t xml:space="preserve">Given these issues Chandigarh does not fit a </w:t>
      </w:r>
      <w:r w:rsidRPr="005D7EEC" w:rsidDel="00DF31B1">
        <w:rPr>
          <w:rFonts w:cs="Arial"/>
        </w:rPr>
        <w:t>15</w:t>
      </w:r>
      <w:r w:rsidRPr="005D7EEC">
        <w:rPr>
          <w:rFonts w:cs="Arial"/>
        </w:rPr>
        <w:t>-minute city structure, although plans are proposed to improve its walkability</w:t>
      </w:r>
      <w:r w:rsidRPr="005D7EEC">
        <w:rPr>
          <w:rStyle w:val="EndnoteReference"/>
          <w:rFonts w:cs="Arial"/>
        </w:rPr>
        <w:endnoteReference w:id="117"/>
      </w:r>
      <w:r w:rsidRPr="005D7EEC">
        <w:rPr>
          <w:rFonts w:cs="Arial"/>
        </w:rPr>
        <w:t>.</w:t>
      </w:r>
    </w:p>
    <w:p w14:paraId="7F9AFFA1" w14:textId="77777777" w:rsidR="009518E9" w:rsidRPr="005D7EEC" w:rsidRDefault="009518E9" w:rsidP="009518E9">
      <w:pPr>
        <w:rPr>
          <w:rFonts w:cs="Arial"/>
        </w:rPr>
      </w:pPr>
      <w:r w:rsidRPr="005D7EEC">
        <w:rPr>
          <w:rFonts w:cs="Arial"/>
        </w:rPr>
        <w:t>Despite original visions of creating an “equitable, walkable environment in the city”, Chandigarh has transformed into a car-centric environment that discourages walking</w:t>
      </w:r>
      <w:r w:rsidRPr="005D7EEC">
        <w:rPr>
          <w:rStyle w:val="EndnoteReference"/>
          <w:rFonts w:cs="Arial"/>
        </w:rPr>
        <w:endnoteReference w:id="118"/>
      </w:r>
      <w:r w:rsidRPr="005D7EEC">
        <w:rPr>
          <w:rFonts w:cs="Arial"/>
        </w:rPr>
        <w:t>. Chandigarh’s functional zoning and dispersed sectoral layout has contributed to a high degree of car dependency. Chandigarh now has the highest density of car ownership in India, which has put a strain on the city’s road infrastructure</w:t>
      </w:r>
      <w:r w:rsidRPr="005D7EEC">
        <w:rPr>
          <w:rStyle w:val="EndnoteReference"/>
          <w:rFonts w:cs="Arial"/>
        </w:rPr>
        <w:endnoteReference w:id="119"/>
      </w:r>
      <w:r w:rsidRPr="005D7EEC">
        <w:rPr>
          <w:rFonts w:cs="Arial"/>
        </w:rPr>
        <w:t xml:space="preserve">. </w:t>
      </w:r>
    </w:p>
    <w:p w14:paraId="784DB227" w14:textId="77777777" w:rsidR="009518E9" w:rsidRPr="005D7EEC" w:rsidRDefault="009518E9" w:rsidP="009518E9">
      <w:pPr>
        <w:rPr>
          <w:rFonts w:cs="Arial"/>
        </w:rPr>
      </w:pPr>
      <w:r w:rsidRPr="005D7EEC">
        <w:rPr>
          <w:rFonts w:cs="Arial"/>
        </w:rPr>
        <w:t xml:space="preserve">In this sense, the case study of Chandigarh highlights that purpose-built planned cities can fail in meeting their original goals. Although its modernist place design was shaped around car use, Chandigarh’s situation cannot be solely attributed to design. It reflects a range of factors, including car ownership as a status symbol - which makes sense considering the relatively high incomes of the city’s residents. </w:t>
      </w:r>
    </w:p>
    <w:p w14:paraId="57B88D4F" w14:textId="77777777" w:rsidR="009518E9" w:rsidRPr="005D7EEC" w:rsidRDefault="009518E9" w:rsidP="009518E9">
      <w:pPr>
        <w:rPr>
          <w:rFonts w:cs="Arial"/>
        </w:rPr>
      </w:pPr>
      <w:r w:rsidRPr="005D7EEC">
        <w:rPr>
          <w:rFonts w:cs="Arial"/>
        </w:rPr>
        <w:t>Chandigarh’s planners placed great emphasis on the city’s “lungs”. This is a network of parks including the 8-kilometre Leisure Valley, a linear green corridor running through the city. Despite population growth which has increased pressure on parks</w:t>
      </w:r>
      <w:r w:rsidRPr="005D7EEC">
        <w:rPr>
          <w:rStyle w:val="EndnoteReference"/>
          <w:rFonts w:cs="Arial"/>
        </w:rPr>
        <w:endnoteReference w:id="120"/>
      </w:r>
      <w:r w:rsidRPr="005D7EEC">
        <w:rPr>
          <w:rFonts w:cs="Arial"/>
        </w:rPr>
        <w:t>, most neighbourhoods in the city are “within a reasonable proximity to a well-maintained green space”</w:t>
      </w:r>
      <w:r w:rsidRPr="005D7EEC">
        <w:rPr>
          <w:rStyle w:val="EndnoteReference"/>
          <w:rFonts w:cs="Arial"/>
        </w:rPr>
        <w:endnoteReference w:id="121"/>
      </w:r>
      <w:r w:rsidRPr="005D7EEC">
        <w:rPr>
          <w:rFonts w:cs="Arial"/>
        </w:rPr>
        <w:t>. Academics have praised Chandigarh for “excelling in integrating green spaces into its urban fabric” and have discussed how its “green corridor enhances large-scale connectivity and serves as a vital recreational and ecological spine”</w:t>
      </w:r>
      <w:r w:rsidRPr="005D7EEC">
        <w:rPr>
          <w:rStyle w:val="EndnoteReference"/>
          <w:rFonts w:cs="Arial"/>
        </w:rPr>
        <w:endnoteReference w:id="122"/>
      </w:r>
      <w:r w:rsidRPr="005D7EEC">
        <w:rPr>
          <w:rFonts w:cs="Arial"/>
        </w:rPr>
        <w:t>. Over time, these lungs have expanded, with recent data showing that nearly 50 percent</w:t>
      </w:r>
      <w:r w:rsidRPr="005D7EEC" w:rsidDel="008A1DDC">
        <w:rPr>
          <w:rFonts w:cs="Arial"/>
        </w:rPr>
        <w:t xml:space="preserve"> </w:t>
      </w:r>
      <w:r w:rsidRPr="005D7EEC">
        <w:rPr>
          <w:rFonts w:cs="Arial"/>
        </w:rPr>
        <w:t>of Chandigarh’s territory is now under green cover</w:t>
      </w:r>
      <w:r w:rsidRPr="005D7EEC">
        <w:rPr>
          <w:rStyle w:val="EndnoteReference"/>
          <w:rFonts w:cs="Arial"/>
        </w:rPr>
        <w:endnoteReference w:id="123"/>
      </w:r>
      <w:r w:rsidRPr="005D7EEC">
        <w:rPr>
          <w:rFonts w:cs="Arial"/>
        </w:rPr>
        <w:t>. This plays a crucial role in regulating air quality, mitigating heat, and improving liveability.</w:t>
      </w:r>
    </w:p>
    <w:p w14:paraId="5E11F560" w14:textId="77777777" w:rsidR="009518E9" w:rsidRPr="005D7EEC" w:rsidRDefault="009518E9" w:rsidP="009518E9">
      <w:pPr>
        <w:rPr>
          <w:rFonts w:cs="Arial"/>
        </w:rPr>
      </w:pPr>
      <w:r w:rsidRPr="005D7EEC">
        <w:rPr>
          <w:rFonts w:cs="Arial"/>
        </w:rPr>
        <w:t xml:space="preserve">It appears that both the apparent successes and challenges in Chandigarh are deeply entwined with modernist planning and spatial logic. While Chandigarh has achieved its goal of creating a legible urban form with integrated green spaces, the highly structured environment has produced a range of problems. </w:t>
      </w:r>
    </w:p>
    <w:p w14:paraId="6ABB26F3" w14:textId="77777777" w:rsidR="009518E9" w:rsidRPr="005D7EEC" w:rsidRDefault="009518E9" w:rsidP="009518E9">
      <w:pPr>
        <w:rPr>
          <w:rFonts w:cs="Arial"/>
        </w:rPr>
      </w:pPr>
      <w:r w:rsidRPr="005D7EEC">
        <w:rPr>
          <w:rFonts w:cs="Arial"/>
          <w:noProof/>
        </w:rPr>
        <w:lastRenderedPageBreak/>
        <w:drawing>
          <wp:inline distT="0" distB="0" distL="0" distR="0" wp14:anchorId="0FE1AFA6" wp14:editId="2B3ABC02">
            <wp:extent cx="5686208" cy="2355850"/>
            <wp:effectExtent l="0" t="0" r="0" b="6350"/>
            <wp:docPr id="1460014313" name="drawing" descr="Photograph shows a few pedestrians and one cyclist on a plaza with trees in the distance. A nearby building has five storeys, and distinctive pillars supporting balconies. The ground floor shops appear busy, and the first and second floors may also be deck-accessed commercial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4313" name="drawing" descr="Photograph shows a few pedestrians and one cyclist on a plaza with trees in the distance. A nearby building has five storeys, and distinctive pillars supporting balconies. The ground floor shops appear busy, and the first and second floors may also be deck-accessed commercial units."/>
                    <pic:cNvPicPr/>
                  </pic:nvPicPr>
                  <pic:blipFill>
                    <a:blip r:embed="rId40">
                      <a:extLst>
                        <a:ext uri="{28A0092B-C50C-407E-A947-70E740481C1C}">
                          <a14:useLocalDpi xmlns:a14="http://schemas.microsoft.com/office/drawing/2010/main"/>
                        </a:ext>
                      </a:extLst>
                    </a:blip>
                    <a:stretch>
                      <a:fillRect/>
                    </a:stretch>
                  </pic:blipFill>
                  <pic:spPr>
                    <a:xfrm>
                      <a:off x="0" y="0"/>
                      <a:ext cx="5693510" cy="2358875"/>
                    </a:xfrm>
                    <a:prstGeom prst="rect">
                      <a:avLst/>
                    </a:prstGeom>
                  </pic:spPr>
                </pic:pic>
              </a:graphicData>
            </a:graphic>
          </wp:inline>
        </w:drawing>
      </w:r>
    </w:p>
    <w:p w14:paraId="28D21B69" w14:textId="77777777" w:rsidR="009518E9" w:rsidRPr="005D7EEC" w:rsidRDefault="009518E9" w:rsidP="009518E9">
      <w:pPr>
        <w:rPr>
          <w:rFonts w:cs="Arial"/>
          <w:i/>
        </w:rPr>
      </w:pPr>
      <w:r w:rsidRPr="005D7EEC">
        <w:rPr>
          <w:rFonts w:cs="Arial"/>
          <w:i/>
        </w:rPr>
        <w:t>Figure 4.5: Shopfronts in Chandigarh, with signage visible behind facades, photograph by John Sturzaker</w:t>
      </w:r>
    </w:p>
    <w:p w14:paraId="7EA236DE" w14:textId="6D5F470C" w:rsidR="009518E9" w:rsidRPr="005D7EEC" w:rsidRDefault="00057D7F" w:rsidP="00CE5506">
      <w:pPr>
        <w:pStyle w:val="Heading2"/>
        <w:rPr>
          <w:rFonts w:cs="Arial"/>
        </w:rPr>
      </w:pPr>
      <w:r w:rsidRPr="005D7EEC">
        <w:rPr>
          <w:rFonts w:cs="Arial"/>
        </w:rPr>
        <w:t xml:space="preserve">5.6 </w:t>
      </w:r>
      <w:r w:rsidR="009518E9" w:rsidRPr="005D7EEC">
        <w:rPr>
          <w:rFonts w:cs="Arial"/>
        </w:rPr>
        <w:t>Thematic discussion</w:t>
      </w:r>
    </w:p>
    <w:p w14:paraId="301FDF55" w14:textId="77777777" w:rsidR="009518E9" w:rsidRPr="005D7EEC" w:rsidRDefault="009518E9" w:rsidP="009518E9">
      <w:pPr>
        <w:pStyle w:val="Heading3"/>
        <w:rPr>
          <w:rFonts w:ascii="Arial" w:hAnsi="Arial" w:cs="Arial"/>
        </w:rPr>
      </w:pPr>
      <w:r w:rsidRPr="005D7EEC">
        <w:rPr>
          <w:rFonts w:ascii="Arial" w:hAnsi="Arial" w:cs="Arial"/>
        </w:rPr>
        <w:t>New towns as political and ideological projects</w:t>
      </w:r>
    </w:p>
    <w:p w14:paraId="51C77CF2" w14:textId="77777777" w:rsidR="009518E9" w:rsidRPr="005D7EEC" w:rsidRDefault="009518E9" w:rsidP="009518E9">
      <w:pPr>
        <w:rPr>
          <w:rFonts w:cs="Arial"/>
        </w:rPr>
      </w:pPr>
      <w:r w:rsidRPr="005D7EEC">
        <w:rPr>
          <w:rFonts w:cs="Arial"/>
        </w:rPr>
        <w:t>Chandigarh has been understood as an ideological project in a myriad of ways. Firstly, Chandigarh’s symbolic weight as one of the first postcolonial Indian cities is significant. Chandigarh was to be a “tangible metaphor for Nehru’s modern India”</w:t>
      </w:r>
      <w:r w:rsidRPr="005D7EEC">
        <w:rPr>
          <w:rFonts w:cs="Arial"/>
          <w:vertAlign w:val="superscript"/>
        </w:rPr>
        <w:endnoteReference w:id="124"/>
      </w:r>
      <w:r w:rsidRPr="005D7EEC">
        <w:rPr>
          <w:rFonts w:cs="Arial"/>
        </w:rPr>
        <w:t>. Academics have also explored how Chandigarh “introduced to India a new urbanity”, a “breathtaking handling of urban form and space”</w:t>
      </w:r>
      <w:r w:rsidRPr="005D7EEC">
        <w:rPr>
          <w:rFonts w:cs="Arial"/>
          <w:vertAlign w:val="superscript"/>
        </w:rPr>
        <w:endnoteReference w:id="125"/>
      </w:r>
      <w:r w:rsidRPr="005D7EEC">
        <w:rPr>
          <w:rFonts w:cs="Arial"/>
        </w:rPr>
        <w:t>. Chandigarh stands as a typical example of modernist planning, expressing rationality and order through its gridded sectors, functional zoning, and hierarchical road system</w:t>
      </w:r>
      <w:r w:rsidRPr="005D7EEC">
        <w:rPr>
          <w:rFonts w:cs="Arial"/>
          <w:vertAlign w:val="superscript"/>
        </w:rPr>
        <w:endnoteReference w:id="126"/>
      </w:r>
      <w:r w:rsidRPr="005D7EEC">
        <w:rPr>
          <w:rFonts w:cs="Arial"/>
        </w:rPr>
        <w:t>.</w:t>
      </w:r>
    </w:p>
    <w:p w14:paraId="6D112B2D" w14:textId="77777777" w:rsidR="009518E9" w:rsidRPr="005D7EEC" w:rsidRDefault="009518E9" w:rsidP="009518E9">
      <w:pPr>
        <w:rPr>
          <w:rFonts w:cs="Arial"/>
        </w:rPr>
      </w:pPr>
      <w:r w:rsidRPr="005D7EEC">
        <w:rPr>
          <w:rFonts w:cs="Arial"/>
        </w:rPr>
        <w:t>Le Corbusier’s Capitol Complex (Legislative Assembly, High Court, Secretariat) uses monumental, geometric, reinforced-concrete forms to convey civic authority</w:t>
      </w:r>
      <w:r w:rsidRPr="005D7EEC">
        <w:rPr>
          <w:rFonts w:cs="Arial"/>
          <w:vertAlign w:val="superscript"/>
        </w:rPr>
        <w:endnoteReference w:id="127"/>
      </w:r>
      <w:r w:rsidRPr="005D7EEC">
        <w:rPr>
          <w:rFonts w:cs="Arial"/>
        </w:rPr>
        <w:t xml:space="preserve">. The identity of Chandigarh is often associated with these sculptural buildings, and of housing designed by Drew, Fry and </w:t>
      </w:r>
      <w:proofErr w:type="spellStart"/>
      <w:r w:rsidRPr="005D7EEC">
        <w:rPr>
          <w:rFonts w:cs="Arial"/>
        </w:rPr>
        <w:t>Jennerret</w:t>
      </w:r>
      <w:proofErr w:type="spellEnd"/>
      <w:r w:rsidRPr="005D7EEC">
        <w:rPr>
          <w:rFonts w:cs="Arial"/>
          <w:vertAlign w:val="superscript"/>
        </w:rPr>
        <w:endnoteReference w:id="128"/>
      </w:r>
      <w:r w:rsidRPr="005D7EEC">
        <w:rPr>
          <w:rFonts w:cs="Arial"/>
        </w:rPr>
        <w:t>.</w:t>
      </w:r>
    </w:p>
    <w:p w14:paraId="46B24054" w14:textId="77777777" w:rsidR="009518E9" w:rsidRPr="005D7EEC" w:rsidRDefault="009518E9" w:rsidP="009518E9">
      <w:pPr>
        <w:rPr>
          <w:rFonts w:cs="Arial"/>
        </w:rPr>
      </w:pPr>
      <w:r w:rsidRPr="005D7EEC">
        <w:rPr>
          <w:rFonts w:cs="Arial"/>
        </w:rPr>
        <w:t>British and American approaches to planning and neighbourhood design, along with the Garden City Movement, can be understood as key influences for Chandigarh</w:t>
      </w:r>
      <w:r w:rsidRPr="005D7EEC">
        <w:rPr>
          <w:rStyle w:val="EndnoteReference"/>
          <w:rFonts w:cs="Arial"/>
        </w:rPr>
        <w:endnoteReference w:id="129"/>
      </w:r>
      <w:r w:rsidRPr="005D7EEC">
        <w:rPr>
          <w:rFonts w:cs="Arial"/>
        </w:rPr>
        <w:t>. Jane Drew’s work in Chandigarh often took a more "anthropological approach”</w:t>
      </w:r>
      <w:r w:rsidRPr="005D7EEC">
        <w:rPr>
          <w:rStyle w:val="EndnoteReference"/>
          <w:rFonts w:cs="Arial"/>
        </w:rPr>
        <w:endnoteReference w:id="130"/>
      </w:r>
      <w:r w:rsidRPr="005D7EEC">
        <w:rPr>
          <w:rFonts w:cs="Arial"/>
        </w:rPr>
        <w:t xml:space="preserve"> </w:t>
      </w:r>
      <w:r w:rsidRPr="005D7EEC">
        <w:rPr>
          <w:rFonts w:cs="Arial"/>
        </w:rPr>
        <w:lastRenderedPageBreak/>
        <w:t>than the city is known for, and it is thought that her work is often “overshadowed by machismo and more flamboyant” designs in Chandigarh</w:t>
      </w:r>
      <w:r w:rsidRPr="005D7EEC">
        <w:rPr>
          <w:rStyle w:val="EndnoteReference"/>
          <w:rFonts w:cs="Arial"/>
        </w:rPr>
        <w:endnoteReference w:id="131"/>
      </w:r>
      <w:r w:rsidRPr="005D7EEC">
        <w:rPr>
          <w:rFonts w:cs="Arial"/>
        </w:rPr>
        <w:t>. Drew also undertook “extensive consultation”</w:t>
      </w:r>
      <w:r w:rsidRPr="005D7EEC">
        <w:rPr>
          <w:rStyle w:val="EndnoteReference"/>
          <w:rFonts w:cs="Arial"/>
        </w:rPr>
        <w:endnoteReference w:id="132"/>
      </w:r>
      <w:r w:rsidRPr="005D7EEC">
        <w:rPr>
          <w:rFonts w:cs="Arial"/>
        </w:rPr>
        <w:t xml:space="preserve"> with local people during the design. Drew is credited for her work on Sector 22 which is comprised of mostly “homely” and “practical” architecture</w:t>
      </w:r>
      <w:r w:rsidRPr="005D7EEC">
        <w:rPr>
          <w:rStyle w:val="EndnoteReference"/>
          <w:rFonts w:cs="Arial"/>
        </w:rPr>
        <w:endnoteReference w:id="133"/>
      </w:r>
      <w:r w:rsidRPr="005D7EEC">
        <w:rPr>
          <w:rFonts w:cs="Arial"/>
        </w:rPr>
        <w:t>.</w:t>
      </w:r>
    </w:p>
    <w:p w14:paraId="3F5AAE68" w14:textId="77777777" w:rsidR="009518E9" w:rsidRPr="005D7EEC" w:rsidRDefault="009518E9" w:rsidP="009518E9">
      <w:pPr>
        <w:pStyle w:val="Heading3"/>
        <w:rPr>
          <w:rFonts w:ascii="Arial" w:hAnsi="Arial" w:cs="Arial"/>
        </w:rPr>
      </w:pPr>
      <w:r w:rsidRPr="005D7EEC">
        <w:rPr>
          <w:rFonts w:ascii="Arial" w:hAnsi="Arial" w:cs="Arial"/>
        </w:rPr>
        <w:t xml:space="preserve">Functionality, adaptability, and the future of new towns </w:t>
      </w:r>
    </w:p>
    <w:p w14:paraId="14E1A819" w14:textId="77777777" w:rsidR="009518E9" w:rsidRPr="005D7EEC" w:rsidRDefault="009518E9" w:rsidP="009518E9">
      <w:pPr>
        <w:rPr>
          <w:rFonts w:cs="Arial"/>
        </w:rPr>
      </w:pPr>
      <w:r w:rsidRPr="005D7EEC">
        <w:rPr>
          <w:rFonts w:cs="Arial"/>
        </w:rPr>
        <w:t>There are several areas to highlight on the adaptability and functionality of Chandigarh. The modernist design of the city has been seen as restrictive to local businesses in recent years</w:t>
      </w:r>
      <w:r w:rsidRPr="005D7EEC">
        <w:rPr>
          <w:rStyle w:val="EndnoteReference"/>
          <w:rFonts w:cs="Arial"/>
        </w:rPr>
        <w:endnoteReference w:id="134"/>
      </w:r>
      <w:r w:rsidRPr="005D7EEC">
        <w:rPr>
          <w:rFonts w:cs="Arial"/>
        </w:rPr>
        <w:t>. Academics have described how Chandigarh’s “austere modernist facades, set designs and prescribed building use” have been “met with resistance by shopkeepers”</w:t>
      </w:r>
      <w:r w:rsidRPr="005D7EEC">
        <w:rPr>
          <w:rStyle w:val="EndnoteReference"/>
          <w:rFonts w:cs="Arial"/>
        </w:rPr>
        <w:t xml:space="preserve"> </w:t>
      </w:r>
      <w:r w:rsidRPr="005D7EEC">
        <w:rPr>
          <w:rStyle w:val="EndnoteReference"/>
          <w:rFonts w:cs="Arial"/>
        </w:rPr>
        <w:endnoteReference w:id="135"/>
      </w:r>
      <w:r w:rsidRPr="005D7EEC">
        <w:rPr>
          <w:rFonts w:cs="Arial"/>
        </w:rPr>
        <w:t>. These buildings often limit opportunities for “individual expression”</w:t>
      </w:r>
      <w:r w:rsidRPr="005D7EEC">
        <w:rPr>
          <w:rStyle w:val="EndnoteReference"/>
          <w:rFonts w:cs="Arial"/>
        </w:rPr>
        <w:t xml:space="preserve"> </w:t>
      </w:r>
      <w:r w:rsidRPr="005D7EEC">
        <w:rPr>
          <w:rStyle w:val="EndnoteReference"/>
          <w:rFonts w:cs="Arial"/>
        </w:rPr>
        <w:endnoteReference w:id="136"/>
      </w:r>
      <w:r w:rsidRPr="005D7EEC">
        <w:rPr>
          <w:rFonts w:cs="Arial"/>
        </w:rPr>
        <w:t>, and have been described as “functionally obsolete”</w:t>
      </w:r>
      <w:r w:rsidRPr="005D7EEC">
        <w:rPr>
          <w:rStyle w:val="EndnoteReference"/>
          <w:rFonts w:cs="Arial"/>
        </w:rPr>
        <w:t xml:space="preserve"> </w:t>
      </w:r>
      <w:r w:rsidRPr="005D7EEC">
        <w:rPr>
          <w:rStyle w:val="EndnoteReference"/>
          <w:rFonts w:cs="Arial"/>
        </w:rPr>
        <w:endnoteReference w:id="137"/>
      </w:r>
      <w:r w:rsidRPr="005D7EEC">
        <w:rPr>
          <w:rFonts w:cs="Arial"/>
        </w:rPr>
        <w:t>. Due to elements of Chandigarh’s planning that have not allowed for adaptability through the years, while the city is “iconic”, its masterplan is “static”</w:t>
      </w:r>
      <w:r w:rsidRPr="005D7EEC">
        <w:rPr>
          <w:rStyle w:val="EndnoteReference"/>
          <w:rFonts w:cs="Arial"/>
        </w:rPr>
        <w:t xml:space="preserve"> </w:t>
      </w:r>
      <w:r w:rsidRPr="005D7EEC">
        <w:rPr>
          <w:rStyle w:val="EndnoteReference"/>
          <w:rFonts w:cs="Arial"/>
        </w:rPr>
        <w:endnoteReference w:id="138"/>
      </w:r>
      <w:r w:rsidRPr="005D7EEC">
        <w:rPr>
          <w:rFonts w:cs="Arial"/>
        </w:rPr>
        <w:t xml:space="preserve">. </w:t>
      </w:r>
    </w:p>
    <w:p w14:paraId="2FFA722B" w14:textId="77777777" w:rsidR="009518E9" w:rsidRPr="005D7EEC" w:rsidRDefault="009518E9" w:rsidP="009518E9">
      <w:pPr>
        <w:rPr>
          <w:rFonts w:cs="Arial"/>
        </w:rPr>
      </w:pPr>
      <w:r w:rsidRPr="005D7EEC">
        <w:rPr>
          <w:rFonts w:cs="Arial"/>
        </w:rPr>
        <w:t>Yet, Chandigarh has a vibrant street life which has emerged through the everyday appropriation of space</w:t>
      </w:r>
      <w:r w:rsidRPr="005D7EEC">
        <w:rPr>
          <w:rStyle w:val="EndnoteReference"/>
          <w:rFonts w:cs="Arial"/>
        </w:rPr>
        <w:endnoteReference w:id="139"/>
      </w:r>
      <w:r w:rsidRPr="005D7EEC">
        <w:rPr>
          <w:rFonts w:cs="Arial"/>
        </w:rPr>
        <w:t xml:space="preserve">. This takes many forms in Chandigarh: “vendors attach cloths and rope to </w:t>
      </w:r>
      <w:proofErr w:type="spellStart"/>
      <w:r w:rsidRPr="005D7EEC">
        <w:rPr>
          <w:rFonts w:cs="Arial"/>
        </w:rPr>
        <w:t>built</w:t>
      </w:r>
      <w:proofErr w:type="spellEnd"/>
      <w:r w:rsidRPr="005D7EEC">
        <w:rPr>
          <w:rFonts w:cs="Arial"/>
        </w:rPr>
        <w:t xml:space="preserve"> structures to form their own makeshift enclosures, sidewalks and passageways are appropriated as commercial spaces for selling food or produce”, and “pavement curbs are taken from the street and stacked to form work surfaces and vending stalls”</w:t>
      </w:r>
      <w:r w:rsidRPr="005D7EEC">
        <w:rPr>
          <w:rStyle w:val="EndnoteReference"/>
          <w:rFonts w:cs="Arial"/>
        </w:rPr>
        <w:t xml:space="preserve"> </w:t>
      </w:r>
      <w:r w:rsidRPr="005D7EEC">
        <w:rPr>
          <w:rStyle w:val="EndnoteReference"/>
          <w:rFonts w:cs="Arial"/>
        </w:rPr>
        <w:endnoteReference w:id="140"/>
      </w:r>
      <w:r w:rsidRPr="005D7EEC">
        <w:rPr>
          <w:rFonts w:cs="Arial"/>
        </w:rPr>
        <w:t>. Through these practices, residents actively adapt the environment to meet social, economic and cultural needs. In this sense, Chandigarh demonstrates both the limits of modernist rationalism and the creativity of urban life in “modifying the built environment”</w:t>
      </w:r>
      <w:r w:rsidRPr="005D7EEC">
        <w:rPr>
          <w:rStyle w:val="EndnoteReference"/>
          <w:rFonts w:cs="Arial"/>
        </w:rPr>
        <w:t xml:space="preserve"> </w:t>
      </w:r>
      <w:r w:rsidRPr="005D7EEC">
        <w:rPr>
          <w:rStyle w:val="EndnoteReference"/>
          <w:rFonts w:cs="Arial"/>
        </w:rPr>
        <w:endnoteReference w:id="141"/>
      </w:r>
      <w:r w:rsidRPr="005D7EEC">
        <w:rPr>
          <w:rFonts w:cs="Arial"/>
        </w:rPr>
        <w:t>.</w:t>
      </w:r>
    </w:p>
    <w:p w14:paraId="3C4B41AF" w14:textId="32D466CA" w:rsidR="009518E9" w:rsidRPr="005D7EEC" w:rsidRDefault="009518E9" w:rsidP="00EB61BC">
      <w:pPr>
        <w:rPr>
          <w:rFonts w:cs="Arial"/>
        </w:rPr>
      </w:pPr>
      <w:r w:rsidRPr="005D7EEC">
        <w:rPr>
          <w:rFonts w:cs="Arial"/>
          <w:noProof/>
        </w:rPr>
        <w:lastRenderedPageBreak/>
        <w:drawing>
          <wp:anchor distT="0" distB="0" distL="114300" distR="114300" simplePos="0" relativeHeight="251658241" behindDoc="0" locked="0" layoutInCell="1" allowOverlap="1" wp14:anchorId="33EE8DFC" wp14:editId="61C9BF28">
            <wp:simplePos x="0" y="0"/>
            <wp:positionH relativeFrom="margin">
              <wp:posOffset>44450</wp:posOffset>
            </wp:positionH>
            <wp:positionV relativeFrom="paragraph">
              <wp:posOffset>206375</wp:posOffset>
            </wp:positionV>
            <wp:extent cx="4867910" cy="3651250"/>
            <wp:effectExtent l="0" t="0" r="8890" b="6350"/>
            <wp:wrapSquare wrapText="bothSides"/>
            <wp:docPr id="592416760" name="drawing" descr="Photograph shows a large park, and focusses on a concrete below-ground-level plaza, perhaps an open-air auditorium, with over-sized steps, possible tiered seating. In the distance are large buildings, including one or two of unusu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16760" name="drawing" descr="Photograph shows a large park, and focusses on a concrete below-ground-level plaza, perhaps an open-air auditorium, with over-sized steps, possible tiered seating. In the distance are large buildings, including one or two of unusual form."/>
                    <pic:cNvPicPr/>
                  </pic:nvPicPr>
                  <pic:blipFill>
                    <a:blip r:embed="rId41">
                      <a:extLst>
                        <a:ext uri="{28A0092B-C50C-407E-A947-70E740481C1C}">
                          <a14:useLocalDpi xmlns:a14="http://schemas.microsoft.com/office/drawing/2010/main"/>
                        </a:ext>
                      </a:extLst>
                    </a:blip>
                    <a:stretch>
                      <a:fillRect/>
                    </a:stretch>
                  </pic:blipFill>
                  <pic:spPr>
                    <a:xfrm>
                      <a:off x="0" y="0"/>
                      <a:ext cx="4867910" cy="3651250"/>
                    </a:xfrm>
                    <a:prstGeom prst="rect">
                      <a:avLst/>
                    </a:prstGeom>
                  </pic:spPr>
                </pic:pic>
              </a:graphicData>
            </a:graphic>
            <wp14:sizeRelH relativeFrom="page">
              <wp14:pctWidth>0</wp14:pctWidth>
            </wp14:sizeRelH>
            <wp14:sizeRelV relativeFrom="page">
              <wp14:pctHeight>0</wp14:pctHeight>
            </wp14:sizeRelV>
          </wp:anchor>
        </w:drawing>
      </w:r>
    </w:p>
    <w:p w14:paraId="2E23AD1E" w14:textId="77777777" w:rsidR="009518E9" w:rsidRPr="005D7EEC" w:rsidRDefault="009518E9" w:rsidP="009518E9">
      <w:pPr>
        <w:jc w:val="both"/>
        <w:rPr>
          <w:rFonts w:cs="Arial"/>
        </w:rPr>
      </w:pPr>
    </w:p>
    <w:p w14:paraId="29B529DF" w14:textId="77777777" w:rsidR="009518E9" w:rsidRPr="005D7EEC" w:rsidRDefault="009518E9" w:rsidP="009518E9">
      <w:pPr>
        <w:rPr>
          <w:rFonts w:cs="Arial"/>
        </w:rPr>
      </w:pPr>
    </w:p>
    <w:p w14:paraId="26141EEA" w14:textId="77777777" w:rsidR="009518E9" w:rsidRPr="005D7EEC" w:rsidRDefault="009518E9" w:rsidP="009518E9">
      <w:pPr>
        <w:rPr>
          <w:rFonts w:cs="Arial"/>
        </w:rPr>
      </w:pPr>
    </w:p>
    <w:p w14:paraId="6CF2B4BF" w14:textId="77777777" w:rsidR="009518E9" w:rsidRPr="005D7EEC" w:rsidRDefault="009518E9" w:rsidP="009518E9">
      <w:pPr>
        <w:rPr>
          <w:rFonts w:cs="Arial"/>
        </w:rPr>
      </w:pPr>
    </w:p>
    <w:p w14:paraId="360CF701" w14:textId="77777777" w:rsidR="009518E9" w:rsidRPr="005D7EEC" w:rsidRDefault="009518E9" w:rsidP="009518E9">
      <w:pPr>
        <w:rPr>
          <w:rFonts w:cs="Arial"/>
        </w:rPr>
      </w:pPr>
    </w:p>
    <w:p w14:paraId="3DD94D47" w14:textId="77777777" w:rsidR="009518E9" w:rsidRDefault="009518E9" w:rsidP="009518E9">
      <w:pPr>
        <w:rPr>
          <w:rFonts w:cs="Arial"/>
          <w:i/>
        </w:rPr>
      </w:pPr>
    </w:p>
    <w:p w14:paraId="4ABDB37C" w14:textId="77777777" w:rsidR="00EB61BC" w:rsidRPr="005D7EEC" w:rsidRDefault="00EB61BC" w:rsidP="009518E9">
      <w:pPr>
        <w:rPr>
          <w:rFonts w:cs="Arial"/>
          <w:i/>
        </w:rPr>
      </w:pPr>
    </w:p>
    <w:p w14:paraId="5759000C" w14:textId="458B0F10" w:rsidR="009518E9" w:rsidRPr="00EB61BC" w:rsidRDefault="009518E9" w:rsidP="009518E9">
      <w:pPr>
        <w:rPr>
          <w:rFonts w:cs="Arial"/>
          <w:i/>
        </w:rPr>
      </w:pPr>
      <w:r w:rsidRPr="005D7EEC">
        <w:rPr>
          <w:rFonts w:cs="Arial"/>
          <w:i/>
        </w:rPr>
        <w:t>Figure 4.6: Park in Chandigarh, photograph by John Sturzaker</w:t>
      </w:r>
    </w:p>
    <w:p w14:paraId="0C63BEDA" w14:textId="68009C58" w:rsidR="009518E9" w:rsidRPr="005D7EEC" w:rsidRDefault="00057D7F" w:rsidP="00CE5506">
      <w:pPr>
        <w:pStyle w:val="Heading2"/>
        <w:rPr>
          <w:rFonts w:cs="Arial"/>
        </w:rPr>
      </w:pPr>
      <w:r w:rsidRPr="005D7EEC">
        <w:rPr>
          <w:rFonts w:cs="Arial"/>
        </w:rPr>
        <w:t xml:space="preserve">5.7 </w:t>
      </w:r>
      <w:r w:rsidR="009518E9" w:rsidRPr="005D7EEC">
        <w:rPr>
          <w:rFonts w:cs="Arial"/>
        </w:rPr>
        <w:t>Key lessons for policy-makers</w:t>
      </w:r>
    </w:p>
    <w:p w14:paraId="699D79A6" w14:textId="77777777" w:rsidR="009518E9" w:rsidRPr="005D7EEC" w:rsidRDefault="009518E9" w:rsidP="009518E9">
      <w:pPr>
        <w:pStyle w:val="Heading3"/>
        <w:rPr>
          <w:rFonts w:ascii="Arial" w:hAnsi="Arial" w:cs="Arial"/>
        </w:rPr>
      </w:pPr>
      <w:r w:rsidRPr="005D7EEC">
        <w:rPr>
          <w:rFonts w:ascii="Arial" w:hAnsi="Arial" w:cs="Arial"/>
        </w:rPr>
        <w:t>Lesson 1: The importance of adaptability and ongoing review</w:t>
      </w:r>
    </w:p>
    <w:p w14:paraId="5950C7F2" w14:textId="77777777" w:rsidR="009518E9" w:rsidRPr="005D7EEC" w:rsidRDefault="009518E9" w:rsidP="009518E9">
      <w:pPr>
        <w:rPr>
          <w:rFonts w:cs="Arial"/>
        </w:rPr>
      </w:pPr>
      <w:r w:rsidRPr="005D7EEC">
        <w:rPr>
          <w:rFonts w:cs="Arial"/>
        </w:rPr>
        <w:t xml:space="preserve">Chandigarh demonstrates the risks of an overly fixed masterplan that doesn’t account for cultural, economic and climate changes. A key lesson for policy-makers is the importance of implementing periodic reviews of plans, which consider infrastructure needs, demographic data, and climate targets. </w:t>
      </w:r>
    </w:p>
    <w:p w14:paraId="0B13654F" w14:textId="77777777" w:rsidR="009518E9" w:rsidRPr="005D7EEC" w:rsidRDefault="009518E9" w:rsidP="009518E9">
      <w:pPr>
        <w:pStyle w:val="Heading3"/>
        <w:rPr>
          <w:rFonts w:ascii="Arial" w:hAnsi="Arial" w:cs="Arial"/>
        </w:rPr>
      </w:pPr>
      <w:r w:rsidRPr="005D7EEC">
        <w:rPr>
          <w:rFonts w:ascii="Arial" w:hAnsi="Arial" w:cs="Arial"/>
        </w:rPr>
        <w:t>Lesson 2: The limitations of rigid functional zoning</w:t>
      </w:r>
    </w:p>
    <w:p w14:paraId="02224BBD" w14:textId="77777777" w:rsidR="009518E9" w:rsidRPr="005D7EEC" w:rsidRDefault="009518E9" w:rsidP="009518E9">
      <w:pPr>
        <w:rPr>
          <w:rFonts w:cs="Arial"/>
        </w:rPr>
      </w:pPr>
      <w:r w:rsidRPr="005D7EEC">
        <w:rPr>
          <w:rFonts w:cs="Arial"/>
        </w:rPr>
        <w:t>The sector-based design of Chandigarh created a legible and ordered urban form but also imposed a strict separation of land uses. The sector system has limited opportunities for mixed-land use and has left adaptations into the hands of residents</w:t>
      </w:r>
      <w:r w:rsidRPr="005D7EEC">
        <w:rPr>
          <w:rStyle w:val="EndnoteReference"/>
          <w:rFonts w:cs="Arial"/>
        </w:rPr>
        <w:endnoteReference w:id="142"/>
      </w:r>
      <w:r w:rsidRPr="005D7EEC">
        <w:rPr>
          <w:rFonts w:cs="Arial"/>
        </w:rPr>
        <w:t xml:space="preserve">.  A key lesson for policy-makers is that planning frameworks should avoid rigid functional segregation and instead encourage mixed-use, adaptable </w:t>
      </w:r>
      <w:r w:rsidRPr="005D7EEC">
        <w:rPr>
          <w:rFonts w:cs="Arial"/>
        </w:rPr>
        <w:lastRenderedPageBreak/>
        <w:t>neighbourhoods. This allows areas to evolve with changing social, environmental and economic conditions.</w:t>
      </w:r>
    </w:p>
    <w:p w14:paraId="78C0426F" w14:textId="77777777" w:rsidR="009518E9" w:rsidRPr="005D7EEC" w:rsidRDefault="009518E9" w:rsidP="009518E9">
      <w:pPr>
        <w:pStyle w:val="Heading3"/>
        <w:rPr>
          <w:rFonts w:ascii="Arial" w:eastAsia="Aptos" w:hAnsi="Arial" w:cs="Arial"/>
        </w:rPr>
      </w:pPr>
      <w:r w:rsidRPr="005D7EEC">
        <w:rPr>
          <w:rFonts w:ascii="Arial" w:eastAsia="Aptos" w:hAnsi="Arial" w:cs="Arial"/>
        </w:rPr>
        <w:t>Lesson 3: Designing to reduce car dependency</w:t>
      </w:r>
    </w:p>
    <w:p w14:paraId="02C1A60C" w14:textId="77777777" w:rsidR="009518E9" w:rsidRPr="005D7EEC" w:rsidRDefault="009518E9" w:rsidP="009518E9">
      <w:pPr>
        <w:rPr>
          <w:rFonts w:cs="Arial"/>
        </w:rPr>
      </w:pPr>
      <w:r w:rsidRPr="005D7EEC">
        <w:rPr>
          <w:rFonts w:cs="Arial"/>
        </w:rPr>
        <w:t>With car ownership in Chandigarh now exceeding the local population</w:t>
      </w:r>
      <w:r w:rsidRPr="005D7EEC">
        <w:rPr>
          <w:rStyle w:val="EndnoteReference"/>
          <w:rFonts w:cs="Arial"/>
        </w:rPr>
        <w:endnoteReference w:id="143"/>
      </w:r>
      <w:r w:rsidRPr="005D7EEC">
        <w:rPr>
          <w:rFonts w:cs="Arial"/>
        </w:rPr>
        <w:t>, Chandigarh also highlights the potential risks of designing cities too heavily around private car ownership. By actively embedding strong public transport networks and possibilities for active travel, including walkability, excessive car dependency can be avoided in new towns.</w:t>
      </w:r>
    </w:p>
    <w:p w14:paraId="5A0BDF5E" w14:textId="77777777" w:rsidR="009518E9" w:rsidRPr="005D7EEC" w:rsidRDefault="009518E9" w:rsidP="009518E9">
      <w:pPr>
        <w:pStyle w:val="Heading3"/>
        <w:rPr>
          <w:rFonts w:ascii="Arial" w:eastAsia="Aptos" w:hAnsi="Arial" w:cs="Arial"/>
        </w:rPr>
      </w:pPr>
      <w:r w:rsidRPr="005D7EEC">
        <w:rPr>
          <w:rFonts w:ascii="Arial" w:eastAsia="Aptos" w:hAnsi="Arial" w:cs="Arial"/>
        </w:rPr>
        <w:t>Lesson 4: Integrating green infrastructure</w:t>
      </w:r>
    </w:p>
    <w:p w14:paraId="1484FE28" w14:textId="77777777" w:rsidR="009518E9" w:rsidRPr="005D7EEC" w:rsidRDefault="009518E9" w:rsidP="009518E9">
      <w:pPr>
        <w:rPr>
          <w:rFonts w:cs="Arial"/>
        </w:rPr>
      </w:pPr>
      <w:r w:rsidRPr="005D7EEC">
        <w:rPr>
          <w:rFonts w:cs="Arial"/>
        </w:rPr>
        <w:t>Chandigarh’s green infrastructure was designed as a central component of the city’s plan. Chandigarh’s meticulously planned layout has created a “well-distributed hierarchy of greenspaces, from local parks to city-level parks”, which “promote accessibility at multiple scales”</w:t>
      </w:r>
      <w:r w:rsidRPr="005D7EEC">
        <w:rPr>
          <w:rStyle w:val="EndnoteReference"/>
          <w:rFonts w:cs="Arial"/>
        </w:rPr>
        <w:t xml:space="preserve"> </w:t>
      </w:r>
      <w:r w:rsidRPr="005D7EEC">
        <w:rPr>
          <w:rStyle w:val="EndnoteReference"/>
          <w:rFonts w:cs="Arial"/>
        </w:rPr>
        <w:endnoteReference w:id="144"/>
      </w:r>
      <w:r w:rsidRPr="005D7EEC">
        <w:rPr>
          <w:rFonts w:cs="Arial"/>
        </w:rPr>
        <w:t>. Over time, the “lungs” of the city have expanded</w:t>
      </w:r>
      <w:r w:rsidRPr="005D7EEC">
        <w:rPr>
          <w:rStyle w:val="EndnoteReference"/>
          <w:rFonts w:cs="Arial"/>
        </w:rPr>
        <w:endnoteReference w:id="145"/>
      </w:r>
      <w:r w:rsidRPr="005D7EEC">
        <w:rPr>
          <w:rFonts w:cs="Arial"/>
        </w:rPr>
        <w:t>. There is increasing recognition of the importance of planning with green space, and this should continue in the development of new towns.</w:t>
      </w:r>
    </w:p>
    <w:p w14:paraId="07CD3887" w14:textId="02CDBB92" w:rsidR="009518E9" w:rsidRPr="005D7EEC" w:rsidRDefault="009518E9" w:rsidP="009518E9">
      <w:pPr>
        <w:rPr>
          <w:rFonts w:eastAsiaTheme="majorEastAsia" w:cs="Arial"/>
          <w:b/>
          <w:szCs w:val="26"/>
        </w:rPr>
      </w:pPr>
    </w:p>
    <w:p w14:paraId="66FE4D2F" w14:textId="49DC3526" w:rsidR="009518E9" w:rsidRPr="005D7EEC" w:rsidRDefault="00057D7F" w:rsidP="00CE5506">
      <w:pPr>
        <w:pStyle w:val="Heading2"/>
        <w:rPr>
          <w:rFonts w:cs="Arial"/>
        </w:rPr>
      </w:pPr>
      <w:r w:rsidRPr="005D7EEC">
        <w:rPr>
          <w:rFonts w:cs="Arial"/>
        </w:rPr>
        <w:t xml:space="preserve">5.8 </w:t>
      </w:r>
      <w:r w:rsidR="009518E9" w:rsidRPr="005D7EEC">
        <w:rPr>
          <w:rFonts w:cs="Arial"/>
        </w:rPr>
        <w:t>References</w:t>
      </w:r>
    </w:p>
    <w:p w14:paraId="44E4027A" w14:textId="77777777" w:rsidR="009518E9" w:rsidRPr="005D7EEC" w:rsidRDefault="009518E9" w:rsidP="009518E9">
      <w:pPr>
        <w:rPr>
          <w:rFonts w:cs="Arial"/>
        </w:rPr>
        <w:sectPr w:rsidR="009518E9" w:rsidRPr="005D7EEC" w:rsidSect="009518E9">
          <w:endnotePr>
            <w:numFmt w:val="decimal"/>
          </w:endnotePr>
          <w:pgSz w:w="11906" w:h="16838"/>
          <w:pgMar w:top="1440" w:right="1440" w:bottom="1440" w:left="1440" w:header="708" w:footer="741" w:gutter="0"/>
          <w:cols w:space="708"/>
          <w:docGrid w:linePitch="360"/>
        </w:sectPr>
      </w:pPr>
    </w:p>
    <w:p w14:paraId="7A3FEC91" w14:textId="3E8D62D8" w:rsidR="009518E9" w:rsidRPr="005D7EEC" w:rsidRDefault="00057D7F" w:rsidP="0036491E">
      <w:pPr>
        <w:pStyle w:val="Heading1"/>
        <w:rPr>
          <w:rFonts w:cs="Arial"/>
        </w:rPr>
      </w:pPr>
      <w:bookmarkStart w:id="30" w:name="_Toc216946593"/>
      <w:bookmarkStart w:id="31" w:name="_Toc221626821"/>
      <w:r w:rsidRPr="005D7EEC">
        <w:rPr>
          <w:rFonts w:cs="Arial"/>
        </w:rPr>
        <w:lastRenderedPageBreak/>
        <w:t xml:space="preserve">6. </w:t>
      </w:r>
      <w:r w:rsidR="001308B1">
        <w:rPr>
          <w:rFonts w:cs="Arial"/>
        </w:rPr>
        <w:t xml:space="preserve">Case study: </w:t>
      </w:r>
      <w:r w:rsidR="009518E9" w:rsidRPr="005D7EEC">
        <w:rPr>
          <w:rFonts w:cs="Arial"/>
        </w:rPr>
        <w:t>Daybreak</w:t>
      </w:r>
      <w:bookmarkEnd w:id="30"/>
      <w:bookmarkEnd w:id="31"/>
    </w:p>
    <w:p w14:paraId="01636640" w14:textId="77777777" w:rsidR="009518E9" w:rsidRPr="005D7EEC" w:rsidRDefault="009518E9" w:rsidP="009518E9">
      <w:pPr>
        <w:rPr>
          <w:rFonts w:cs="Arial"/>
        </w:rPr>
      </w:pPr>
      <w:r w:rsidRPr="005D7EEC">
        <w:rPr>
          <w:rFonts w:cs="Arial"/>
        </w:rPr>
        <w:t>A pioneering approach to avoiding car-based sprawl</w:t>
      </w:r>
    </w:p>
    <w:p w14:paraId="5D564432" w14:textId="5D853B60" w:rsidR="009518E9" w:rsidRPr="005D7EEC" w:rsidRDefault="00057D7F" w:rsidP="00CE5506">
      <w:pPr>
        <w:pStyle w:val="Heading2"/>
        <w:rPr>
          <w:rFonts w:cs="Arial"/>
        </w:rPr>
      </w:pPr>
      <w:r w:rsidRPr="005D7EEC">
        <w:rPr>
          <w:rFonts w:cs="Arial"/>
        </w:rPr>
        <w:t xml:space="preserve">6.1 </w:t>
      </w:r>
      <w:r w:rsidR="009518E9" w:rsidRPr="005D7EEC">
        <w:rPr>
          <w:rFonts w:cs="Arial"/>
        </w:rPr>
        <w:t>Headlines</w:t>
      </w:r>
    </w:p>
    <w:p w14:paraId="51830CAE" w14:textId="77777777" w:rsidR="009518E9" w:rsidRPr="005D7EEC" w:rsidRDefault="009518E9" w:rsidP="009518E9">
      <w:pPr>
        <w:rPr>
          <w:rFonts w:cs="Arial"/>
        </w:rPr>
      </w:pPr>
      <w:r w:rsidRPr="005D7EEC">
        <w:rPr>
          <w:rStyle w:val="Heading3Char"/>
          <w:rFonts w:cs="Arial"/>
        </w:rPr>
        <w:t>Location</w:t>
      </w:r>
    </w:p>
    <w:p w14:paraId="2B8A3E56" w14:textId="77777777" w:rsidR="009518E9" w:rsidRPr="005D7EEC" w:rsidRDefault="009518E9" w:rsidP="009518E9">
      <w:pPr>
        <w:rPr>
          <w:rFonts w:cs="Arial"/>
        </w:rPr>
      </w:pPr>
      <w:r w:rsidRPr="005D7EEC">
        <w:rPr>
          <w:rFonts w:cs="Arial"/>
        </w:rPr>
        <w:t>Daybreak, Utah, USA, North America</w:t>
      </w:r>
    </w:p>
    <w:p w14:paraId="71863BE3" w14:textId="77777777" w:rsidR="009518E9" w:rsidRPr="005D7EEC" w:rsidRDefault="009518E9" w:rsidP="009518E9">
      <w:pPr>
        <w:rPr>
          <w:rFonts w:cs="Arial"/>
        </w:rPr>
      </w:pPr>
      <w:r w:rsidRPr="005D7EEC">
        <w:rPr>
          <w:rStyle w:val="Heading3Char"/>
          <w:rFonts w:cs="Arial"/>
        </w:rPr>
        <w:t>Key dates</w:t>
      </w:r>
    </w:p>
    <w:p w14:paraId="45B45AB7" w14:textId="77777777" w:rsidR="009518E9" w:rsidRPr="005D7EEC" w:rsidRDefault="009518E9" w:rsidP="009518E9">
      <w:pPr>
        <w:rPr>
          <w:rFonts w:cs="Arial"/>
        </w:rPr>
      </w:pPr>
      <w:r w:rsidRPr="005D7EEC">
        <w:rPr>
          <w:rFonts w:cs="Arial"/>
        </w:rPr>
        <w:t>2005-present</w:t>
      </w:r>
    </w:p>
    <w:p w14:paraId="33090402" w14:textId="77777777" w:rsidR="009518E9" w:rsidRPr="005D7EEC" w:rsidRDefault="009518E9" w:rsidP="009518E9">
      <w:pPr>
        <w:rPr>
          <w:rFonts w:cs="Arial"/>
        </w:rPr>
      </w:pPr>
      <w:r w:rsidRPr="005D7EEC">
        <w:rPr>
          <w:rStyle w:val="Heading3Char"/>
          <w:rFonts w:cs="Arial"/>
        </w:rPr>
        <w:t>Key features</w:t>
      </w:r>
    </w:p>
    <w:p w14:paraId="7BEB9F48" w14:textId="77777777" w:rsidR="009518E9" w:rsidRPr="005D7EEC" w:rsidRDefault="009518E9" w:rsidP="009518E9">
      <w:pPr>
        <w:rPr>
          <w:rFonts w:cs="Arial"/>
        </w:rPr>
      </w:pPr>
      <w:r w:rsidRPr="005D7EEC">
        <w:rPr>
          <w:rFonts w:cs="Arial"/>
        </w:rPr>
        <w:t>Large scale ‘traditional neighbourhood development’ comprising a range of dwelling types alongside commercial and mixed land use, built in accord with ‘New Urbanist’ principles of compact, mixed use, green space and transport oriented placemaking</w:t>
      </w:r>
      <w:r w:rsidRPr="005D7EEC">
        <w:rPr>
          <w:rStyle w:val="EndnoteReference"/>
          <w:rFonts w:cs="Arial"/>
        </w:rPr>
        <w:endnoteReference w:id="146"/>
      </w:r>
      <w:r w:rsidRPr="005D7EEC">
        <w:rPr>
          <w:rFonts w:cs="Arial"/>
        </w:rPr>
        <w:t>.</w:t>
      </w:r>
    </w:p>
    <w:p w14:paraId="194A9634" w14:textId="77777777" w:rsidR="009518E9" w:rsidRPr="005D7EEC" w:rsidRDefault="009518E9" w:rsidP="009518E9">
      <w:pPr>
        <w:pStyle w:val="Heading3"/>
        <w:rPr>
          <w:rFonts w:ascii="Arial" w:hAnsi="Arial" w:cs="Arial"/>
        </w:rPr>
      </w:pPr>
      <w:r w:rsidRPr="005D7EEC">
        <w:rPr>
          <w:rFonts w:ascii="Arial" w:hAnsi="Arial" w:cs="Arial"/>
        </w:rPr>
        <w:t>Key lessons</w:t>
      </w:r>
    </w:p>
    <w:p w14:paraId="5D7104E8" w14:textId="77777777" w:rsidR="009518E9" w:rsidRPr="005D7EEC" w:rsidRDefault="009518E9" w:rsidP="009518E9">
      <w:pPr>
        <w:numPr>
          <w:ilvl w:val="0"/>
          <w:numId w:val="16"/>
        </w:numPr>
        <w:spacing w:after="0"/>
        <w:contextualSpacing/>
        <w:rPr>
          <w:rFonts w:cs="Arial"/>
        </w:rPr>
      </w:pPr>
      <w:r w:rsidRPr="005D7EEC">
        <w:rPr>
          <w:rFonts w:cs="Arial"/>
        </w:rPr>
        <w:t>Experience from Daybreak illustrate the importance of long-term commitment and a vision that is then implemented in stages over a sustained period.</w:t>
      </w:r>
    </w:p>
    <w:p w14:paraId="53D62514" w14:textId="77777777" w:rsidR="009518E9" w:rsidRPr="005D7EEC" w:rsidRDefault="009518E9" w:rsidP="009518E9">
      <w:pPr>
        <w:numPr>
          <w:ilvl w:val="0"/>
          <w:numId w:val="16"/>
        </w:numPr>
        <w:spacing w:after="0"/>
        <w:rPr>
          <w:rFonts w:cs="Arial"/>
        </w:rPr>
      </w:pPr>
      <w:r w:rsidRPr="005D7EEC">
        <w:rPr>
          <w:rFonts w:cs="Arial"/>
        </w:rPr>
        <w:t xml:space="preserve">In order to achieve the scale of development that Daybreak now comprises, a programme of land remediation was initially needed. This ‘brownfield first’ approach required significant investment. This underscores the value of a delivery agency with adequate resources and a long-term vision.  </w:t>
      </w:r>
    </w:p>
    <w:p w14:paraId="59594037" w14:textId="77777777" w:rsidR="009518E9" w:rsidRPr="005D7EEC" w:rsidRDefault="009518E9" w:rsidP="009518E9">
      <w:pPr>
        <w:numPr>
          <w:ilvl w:val="0"/>
          <w:numId w:val="16"/>
        </w:numPr>
        <w:spacing w:after="0"/>
        <w:rPr>
          <w:rFonts w:cs="Arial"/>
        </w:rPr>
      </w:pPr>
      <w:r w:rsidRPr="005D7EEC">
        <w:rPr>
          <w:rFonts w:cs="Arial"/>
        </w:rPr>
        <w:t>New Urbanist placemaking principles have produced a new town development that is popular and resilient in sustainability terms by challenging regional development norms that produce car dependent sprawl. Daybreak demonstrates the potential for high quality placemaking.</w:t>
      </w:r>
    </w:p>
    <w:p w14:paraId="5001508D" w14:textId="77777777" w:rsidR="009518E9" w:rsidRPr="005D7EEC" w:rsidRDefault="009518E9" w:rsidP="009518E9">
      <w:pPr>
        <w:rPr>
          <w:rFonts w:cs="Arial"/>
          <w:b/>
          <w:bCs/>
        </w:rPr>
      </w:pPr>
    </w:p>
    <w:p w14:paraId="5D7C1181" w14:textId="77777777" w:rsidR="009518E9" w:rsidRPr="005D7EEC" w:rsidRDefault="009518E9" w:rsidP="009518E9">
      <w:pPr>
        <w:pStyle w:val="Heading3"/>
        <w:rPr>
          <w:rFonts w:ascii="Arial" w:hAnsi="Arial" w:cs="Arial"/>
        </w:rPr>
      </w:pPr>
      <w:r w:rsidRPr="005D7EEC">
        <w:rPr>
          <w:rFonts w:ascii="Arial" w:hAnsi="Arial" w:cs="Arial"/>
        </w:rPr>
        <w:lastRenderedPageBreak/>
        <w:t xml:space="preserve">Key recommendations: </w:t>
      </w:r>
    </w:p>
    <w:p w14:paraId="7BB86B5C" w14:textId="77777777" w:rsidR="009518E9" w:rsidRPr="005D7EEC" w:rsidRDefault="009518E9" w:rsidP="009518E9">
      <w:pPr>
        <w:keepNext/>
        <w:keepLines/>
        <w:numPr>
          <w:ilvl w:val="0"/>
          <w:numId w:val="16"/>
        </w:numPr>
        <w:spacing w:before="360" w:after="0"/>
        <w:contextualSpacing/>
        <w:rPr>
          <w:rFonts w:cs="Arial"/>
        </w:rPr>
      </w:pPr>
      <w:r w:rsidRPr="005D7EEC">
        <w:rPr>
          <w:rFonts w:cs="Arial"/>
        </w:rPr>
        <w:t>Maintaining affordability is a challenge for successful new town developments especially in a solely market based housing context. Full consideration of the blend of dwelling types and tenures is needed if mixed communities are the goal. New Urbanist new town development works best when making use of typologies that have been identified to provide a range of smaller, more affordable housing types</w:t>
      </w:r>
      <w:r w:rsidRPr="005D7EEC">
        <w:rPr>
          <w:rStyle w:val="EndnoteReference"/>
          <w:rFonts w:cs="Arial"/>
        </w:rPr>
        <w:endnoteReference w:id="147"/>
      </w:r>
      <w:r w:rsidRPr="005D7EEC">
        <w:rPr>
          <w:rFonts w:cs="Arial"/>
        </w:rPr>
        <w:t>.</w:t>
      </w:r>
    </w:p>
    <w:p w14:paraId="6CFB9F08" w14:textId="77777777" w:rsidR="009518E9" w:rsidRPr="005D7EEC" w:rsidRDefault="009518E9" w:rsidP="009518E9">
      <w:pPr>
        <w:keepNext/>
        <w:keepLines/>
        <w:numPr>
          <w:ilvl w:val="0"/>
          <w:numId w:val="16"/>
        </w:numPr>
        <w:spacing w:before="360" w:after="0"/>
        <w:contextualSpacing/>
        <w:rPr>
          <w:rFonts w:cs="Arial"/>
        </w:rPr>
      </w:pPr>
      <w:r w:rsidRPr="005D7EEC">
        <w:rPr>
          <w:rFonts w:cs="Arial"/>
        </w:rPr>
        <w:t>Recognise that engaging a significant landowner/corporate organisation is essential in some circumstances to achieve wholesale redevelopment. This may be particularly the case where a former industrial site has high remediation costs which cannot otherwise be met.</w:t>
      </w:r>
    </w:p>
    <w:p w14:paraId="0C10E46E" w14:textId="77777777" w:rsidR="009518E9" w:rsidRPr="005D7EEC" w:rsidRDefault="009518E9" w:rsidP="009518E9">
      <w:pPr>
        <w:keepNext/>
        <w:keepLines/>
        <w:spacing w:before="360" w:after="0"/>
        <w:contextualSpacing/>
        <w:rPr>
          <w:rFonts w:cs="Arial"/>
        </w:rPr>
      </w:pPr>
    </w:p>
    <w:p w14:paraId="7F180070" w14:textId="77777777" w:rsidR="009518E9" w:rsidRPr="005D7EEC" w:rsidRDefault="009518E9" w:rsidP="00EB61BC">
      <w:pPr>
        <w:rPr>
          <w:highlight w:val="yellow"/>
        </w:rPr>
      </w:pPr>
      <w:r w:rsidRPr="005D7EEC">
        <w:t>A development such as Daybreak raises important questions about how uplift in value can be shared including to provide affordable housing and infrastructure. Explore ways to return to the community the uplift in land values resulting from the consent to develop, in the form of public goods.</w:t>
      </w:r>
    </w:p>
    <w:p w14:paraId="56D5B688" w14:textId="2572BC25" w:rsidR="009518E9" w:rsidRPr="005D7EEC" w:rsidRDefault="00057D7F" w:rsidP="00EB61BC">
      <w:pPr>
        <w:pStyle w:val="Heading2"/>
      </w:pPr>
      <w:r w:rsidRPr="005D7EEC">
        <w:t xml:space="preserve">6.2 </w:t>
      </w:r>
      <w:r w:rsidR="009518E9" w:rsidRPr="005D7EEC">
        <w:t xml:space="preserve">Overview </w:t>
      </w:r>
    </w:p>
    <w:p w14:paraId="5FC86455" w14:textId="77777777" w:rsidR="009518E9" w:rsidRPr="005D7EEC" w:rsidRDefault="009518E9" w:rsidP="009518E9">
      <w:pPr>
        <w:rPr>
          <w:rFonts w:cs="Arial"/>
        </w:rPr>
      </w:pPr>
      <w:r w:rsidRPr="005D7EEC">
        <w:rPr>
          <w:rFonts w:cs="Arial"/>
        </w:rPr>
        <w:t>Daybreak is located in South Jordan, Utah, approximately 30 minutes’ drive time from downtown Salt Lake City and is the largest master-planned community in Utah’s history.  Based on a masterplan by leading New Urbanist Peter Calthorpe, Daybreak is developed on part of a former mining site. Its transport and nature oriented development approach follows New Urbanist placemaking principles of sustainable, human scaled, compact, walkable, mixed use design.</w:t>
      </w:r>
    </w:p>
    <w:p w14:paraId="25BE046C" w14:textId="51CEE482" w:rsidR="009518E9" w:rsidRPr="005D7EEC" w:rsidRDefault="00057D7F" w:rsidP="00CE5506">
      <w:pPr>
        <w:pStyle w:val="Heading2"/>
        <w:rPr>
          <w:rFonts w:cs="Arial"/>
        </w:rPr>
      </w:pPr>
      <w:r w:rsidRPr="005D7EEC">
        <w:rPr>
          <w:rFonts w:cs="Arial"/>
        </w:rPr>
        <w:t xml:space="preserve">6.3 </w:t>
      </w:r>
      <w:r w:rsidR="009518E9" w:rsidRPr="005D7EEC">
        <w:rPr>
          <w:rFonts w:cs="Arial"/>
        </w:rPr>
        <w:t>Planning frameworks</w:t>
      </w:r>
    </w:p>
    <w:p w14:paraId="05BC5A29" w14:textId="77777777" w:rsidR="009518E9" w:rsidRPr="005D7EEC" w:rsidRDefault="009518E9" w:rsidP="009518E9">
      <w:pPr>
        <w:rPr>
          <w:rFonts w:cs="Arial"/>
        </w:rPr>
      </w:pPr>
      <w:r w:rsidRPr="005D7EEC">
        <w:rPr>
          <w:rFonts w:cs="Arial"/>
        </w:rPr>
        <w:t>As with the rest of the federal United States, Utah’s land use planning system is zonal in character. There is extensive use of local plebiscites to guarantee an important moment of democratic control in the planning process. Although not unique to the US, this is an unusual approach to planning decision-making.</w:t>
      </w:r>
    </w:p>
    <w:p w14:paraId="25DB8FD8" w14:textId="77777777" w:rsidR="009518E9" w:rsidRPr="005D7EEC" w:rsidRDefault="009518E9" w:rsidP="009518E9">
      <w:pPr>
        <w:rPr>
          <w:rFonts w:cs="Arial"/>
        </w:rPr>
      </w:pPr>
      <w:r w:rsidRPr="005D7EEC">
        <w:rPr>
          <w:rFonts w:cs="Arial"/>
        </w:rPr>
        <w:lastRenderedPageBreak/>
        <w:t xml:space="preserve">Another contextual feature that distinguishes Utah even from the other states of the US is the strong association between the state and the Church of Jesus Christ of Latter Day Saints (henceforth LDS church).  As of 2020, over 60 percent of Utahns identify as members of the LDS church. Accurate estimates are not available at small area geographies but it is widely reported that around half the population of Daybreak identifies as members of the LDS church.  </w:t>
      </w:r>
    </w:p>
    <w:p w14:paraId="732A06BD" w14:textId="77777777" w:rsidR="009518E9" w:rsidRPr="005D7EEC" w:rsidRDefault="009518E9" w:rsidP="009518E9">
      <w:pPr>
        <w:rPr>
          <w:rFonts w:cs="Arial"/>
        </w:rPr>
      </w:pPr>
      <w:r w:rsidRPr="005D7EEC">
        <w:rPr>
          <w:rFonts w:cs="Arial"/>
        </w:rPr>
        <w:t>This cultural feature of Utah is important in understanding some aspects of the development, but it also makes it very specific. For example, it would be unlikely that a new town in some other settings would exist in a context where such a significant proportion of the population identify with one particular religious or cultural grouping.</w:t>
      </w:r>
    </w:p>
    <w:p w14:paraId="2E51867C" w14:textId="77777777" w:rsidR="009518E9" w:rsidRPr="005D7EEC" w:rsidRDefault="009518E9" w:rsidP="009518E9">
      <w:pPr>
        <w:rPr>
          <w:rFonts w:cs="Arial"/>
        </w:rPr>
      </w:pPr>
      <w:r w:rsidRPr="005D7EEC">
        <w:rPr>
          <w:rFonts w:cs="Arial"/>
        </w:rPr>
        <w:t>A hugely important feature of Daybreak’s development has been the principle of urban sustainability. This includes walkable neighbourhoods, a 50-mile nature trail system (“the loop”), and the 67-acre constructed Oquirrh lake (Figure 5.1) which acts as a central focal point for the development as a whole. Daybreak includes “an extensive parks and open space system that integrates stormwater management, water conservation, habitat creation and local food production”</w:t>
      </w:r>
      <w:r w:rsidRPr="005D7EEC">
        <w:rPr>
          <w:rStyle w:val="EndnoteReference"/>
          <w:rFonts w:cs="Arial"/>
        </w:rPr>
        <w:t xml:space="preserve"> </w:t>
      </w:r>
      <w:r w:rsidRPr="005D7EEC">
        <w:rPr>
          <w:rStyle w:val="EndnoteReference"/>
          <w:rFonts w:cs="Arial"/>
        </w:rPr>
        <w:endnoteReference w:id="148"/>
      </w:r>
      <w:r w:rsidRPr="005D7EEC">
        <w:rPr>
          <w:rFonts w:cs="Arial"/>
        </w:rPr>
        <w:t>.</w:t>
      </w:r>
    </w:p>
    <w:p w14:paraId="247FA8F0" w14:textId="403DAAB2" w:rsidR="009518E9" w:rsidRPr="005D7EEC" w:rsidRDefault="00DF589E" w:rsidP="009518E9">
      <w:pPr>
        <w:jc w:val="both"/>
        <w:rPr>
          <w:rFonts w:cs="Arial"/>
        </w:rPr>
      </w:pPr>
      <w:r w:rsidRPr="005D7EEC">
        <w:rPr>
          <w:rFonts w:cs="Arial"/>
          <w:noProof/>
        </w:rPr>
        <w:drawing>
          <wp:inline distT="0" distB="0" distL="0" distR="0" wp14:anchorId="09784FFB" wp14:editId="3C29D0C4">
            <wp:extent cx="5731510" cy="3825240"/>
            <wp:effectExtent l="0" t="0" r="2540" b="3810"/>
            <wp:docPr id="1806796702" name="Picture 1" descr="Houses and apartments adjacent to a lake at sunrise, two people stand by the lake. Large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96702" name="Picture 1" descr="Houses and apartments adjacent to a lake at sunrise, two people stand by the lake. Large mountains in the distanc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31510" cy="3825240"/>
                    </a:xfrm>
                    <a:prstGeom prst="rect">
                      <a:avLst/>
                    </a:prstGeom>
                    <a:noFill/>
                    <a:ln>
                      <a:noFill/>
                    </a:ln>
                  </pic:spPr>
                </pic:pic>
              </a:graphicData>
            </a:graphic>
          </wp:inline>
        </w:drawing>
      </w:r>
    </w:p>
    <w:p w14:paraId="758F2733" w14:textId="271278A9" w:rsidR="009518E9" w:rsidRPr="00EB61BC" w:rsidRDefault="009518E9" w:rsidP="00EB61BC">
      <w:pPr>
        <w:rPr>
          <w:i/>
          <w:iCs/>
        </w:rPr>
      </w:pPr>
      <w:r w:rsidRPr="00EB61BC">
        <w:rPr>
          <w:i/>
          <w:iCs/>
        </w:rPr>
        <w:lastRenderedPageBreak/>
        <w:t xml:space="preserve">Figure 5.1: </w:t>
      </w:r>
      <w:r w:rsidR="00E80D32" w:rsidRPr="00EB61BC">
        <w:rPr>
          <w:i/>
          <w:iCs/>
        </w:rPr>
        <w:t xml:space="preserve">5.1 Oquirrh Lake in Daybreak, Utah. Joey </w:t>
      </w:r>
      <w:proofErr w:type="spellStart"/>
      <w:r w:rsidR="00E80D32" w:rsidRPr="00EB61BC">
        <w:rPr>
          <w:i/>
          <w:iCs/>
        </w:rPr>
        <w:t>Ingelhart</w:t>
      </w:r>
      <w:proofErr w:type="spellEnd"/>
      <w:r w:rsidR="00E80D32" w:rsidRPr="00EB61BC">
        <w:rPr>
          <w:i/>
          <w:iCs/>
        </w:rPr>
        <w:t xml:space="preserve"> via Getty Images.</w:t>
      </w:r>
    </w:p>
    <w:p w14:paraId="0FDFD654" w14:textId="77777777" w:rsidR="009518E9" w:rsidRPr="005D7EEC" w:rsidRDefault="009518E9" w:rsidP="009518E9">
      <w:pPr>
        <w:rPr>
          <w:rFonts w:cs="Arial"/>
        </w:rPr>
      </w:pPr>
      <w:r w:rsidRPr="005D7EEC">
        <w:rPr>
          <w:rFonts w:cs="Arial"/>
        </w:rPr>
        <w:t xml:space="preserve">Daybreak has also taken a sustainable approach to transport, walkability and its urban centre. A light rail line of the Utah Transit Authority’s TRAX network (Figure 5.2) connects Daybreak to the University of Utah and downtown Salt Lake City. </w:t>
      </w:r>
      <w:proofErr w:type="spellStart"/>
      <w:r w:rsidRPr="005D7EEC">
        <w:rPr>
          <w:rFonts w:cs="Arial"/>
        </w:rPr>
        <w:t>Daygreak’s</w:t>
      </w:r>
      <w:proofErr w:type="spellEnd"/>
      <w:r w:rsidRPr="005D7EEC">
        <w:rPr>
          <w:rFonts w:cs="Arial"/>
        </w:rPr>
        <w:t xml:space="preserve"> downtown area is being developed as a compact, mixed use centre developed through extensive community consultation, Envision Utah, that looked at scenarios for growth:</w:t>
      </w:r>
    </w:p>
    <w:p w14:paraId="14A7FBF3" w14:textId="19F25E5C" w:rsidR="009518E9" w:rsidRPr="005D7EEC" w:rsidRDefault="009518E9" w:rsidP="00EB61BC">
      <w:pPr>
        <w:ind w:left="720" w:firstLine="30"/>
        <w:rPr>
          <w:rFonts w:cs="Arial"/>
        </w:rPr>
      </w:pPr>
      <w:r w:rsidRPr="005D7EEC">
        <w:rPr>
          <w:rFonts w:cs="Arial"/>
        </w:rPr>
        <w:t>“Participants preferred the future of mixed-use, compact development connected by light rail over the business-as-usual scenario of unmitigated sprawl and more highways (126 square miles versus 409 square miles of new development)”</w:t>
      </w:r>
      <w:r w:rsidRPr="005D7EEC">
        <w:rPr>
          <w:rStyle w:val="EndnoteReference"/>
          <w:rFonts w:cs="Arial"/>
        </w:rPr>
        <w:endnoteReference w:id="149"/>
      </w:r>
      <w:r w:rsidRPr="005D7EEC">
        <w:rPr>
          <w:rFonts w:cs="Arial"/>
        </w:rPr>
        <w:t>.</w:t>
      </w:r>
    </w:p>
    <w:p w14:paraId="0B795DFD" w14:textId="4C73A64E" w:rsidR="009518E9" w:rsidRPr="005D7EEC" w:rsidRDefault="001463BB" w:rsidP="009518E9">
      <w:pPr>
        <w:jc w:val="both"/>
        <w:rPr>
          <w:rFonts w:cs="Arial"/>
        </w:rPr>
      </w:pPr>
      <w:r w:rsidRPr="005D7EEC">
        <w:rPr>
          <w:rFonts w:cs="Arial"/>
          <w:noProof/>
        </w:rPr>
        <w:drawing>
          <wp:inline distT="0" distB="0" distL="0" distR="0" wp14:anchorId="198366FD" wp14:editId="2189BD24">
            <wp:extent cx="5731510" cy="2867025"/>
            <wp:effectExtent l="0" t="0" r="2540" b="9525"/>
            <wp:docPr id="801907341" name="Picture 2" descr="Houses either side of landscaped path,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07341" name="Picture 2" descr="Houses either side of landscaped path, mountains in the distanc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31510" cy="2867025"/>
                    </a:xfrm>
                    <a:prstGeom prst="rect">
                      <a:avLst/>
                    </a:prstGeom>
                    <a:noFill/>
                    <a:ln>
                      <a:noFill/>
                    </a:ln>
                  </pic:spPr>
                </pic:pic>
              </a:graphicData>
            </a:graphic>
          </wp:inline>
        </w:drawing>
      </w:r>
    </w:p>
    <w:p w14:paraId="01FE7044" w14:textId="4BA2F507" w:rsidR="009518E9" w:rsidRPr="005D7EEC" w:rsidRDefault="009518E9" w:rsidP="009518E9">
      <w:pPr>
        <w:rPr>
          <w:rFonts w:cs="Arial"/>
        </w:rPr>
      </w:pPr>
      <w:r w:rsidRPr="005D7EEC">
        <w:rPr>
          <w:rFonts w:cs="Arial"/>
          <w:i/>
        </w:rPr>
        <w:t xml:space="preserve">Figure 5.2: </w:t>
      </w:r>
      <w:r w:rsidR="005F56BF" w:rsidRPr="005D7EEC">
        <w:rPr>
          <w:rFonts w:cs="Arial"/>
          <w:i/>
        </w:rPr>
        <w:t>Houses in Daybreak, Utah, arranged at relative density and around a landscaped path. Jason Finn via Getty Images.</w:t>
      </w:r>
    </w:p>
    <w:p w14:paraId="19259202" w14:textId="77777777" w:rsidR="009518E9" w:rsidRPr="005D7EEC" w:rsidRDefault="009518E9" w:rsidP="009518E9">
      <w:pPr>
        <w:rPr>
          <w:rFonts w:cs="Arial"/>
        </w:rPr>
      </w:pPr>
      <w:r w:rsidRPr="005D7EEC">
        <w:rPr>
          <w:rFonts w:cs="Arial"/>
        </w:rPr>
        <w:t xml:space="preserve">Daybreak’s walkability is a very significant feature of the development’s </w:t>
      </w:r>
      <w:proofErr w:type="spellStart"/>
      <w:r w:rsidRPr="005D7EEC">
        <w:rPr>
          <w:rFonts w:cs="Arial"/>
        </w:rPr>
        <w:t>masterplanning</w:t>
      </w:r>
      <w:proofErr w:type="spellEnd"/>
      <w:r w:rsidRPr="005D7EEC">
        <w:rPr>
          <w:rFonts w:cs="Arial"/>
        </w:rPr>
        <w:t>.  A corresponding increase in outdoor physical activity, particularly amongst children, has been recorded in Daybreak relative to other more ‘typical’ forms of development</w:t>
      </w:r>
      <w:r w:rsidRPr="005D7EEC">
        <w:rPr>
          <w:rFonts w:cs="Arial"/>
          <w:vertAlign w:val="superscript"/>
        </w:rPr>
        <w:endnoteReference w:id="150"/>
      </w:r>
      <w:r w:rsidRPr="005D7EEC">
        <w:rPr>
          <w:rFonts w:cs="Arial"/>
        </w:rPr>
        <w:t xml:space="preserve">.  </w:t>
      </w:r>
    </w:p>
    <w:p w14:paraId="4913F32A" w14:textId="39C75FA2" w:rsidR="009518E9" w:rsidRPr="005D7EEC" w:rsidRDefault="009518E9" w:rsidP="009518E9">
      <w:pPr>
        <w:rPr>
          <w:rFonts w:cs="Arial"/>
        </w:rPr>
      </w:pPr>
      <w:r w:rsidRPr="005D7EEC">
        <w:rPr>
          <w:rFonts w:cs="Arial"/>
        </w:rPr>
        <w:lastRenderedPageBreak/>
        <w:t xml:space="preserve">These features of Daybreak mark it out as different to many new developments in the western United States. More usually </w:t>
      </w:r>
      <w:r w:rsidRPr="005D7EEC" w:rsidDel="00AC7177">
        <w:rPr>
          <w:rFonts w:cs="Arial"/>
        </w:rPr>
        <w:t>low</w:t>
      </w:r>
      <w:r w:rsidRPr="005D7EEC">
        <w:rPr>
          <w:rFonts w:cs="Arial"/>
        </w:rPr>
        <w:t xml:space="preserve">-density housing and car-dependence provide the overarching context which explains suburban sprawl and neighbourhoods of indeterminate character.  By contrast, the population of South Jordan has increased from just over 50,000 in 2010 to just over 80,000 in 2022, principally as a result of the expansion of Daybreak. </w:t>
      </w:r>
    </w:p>
    <w:p w14:paraId="1D6472EB" w14:textId="30BE36A0" w:rsidR="009518E9" w:rsidRPr="005D7EEC" w:rsidRDefault="00757D4A" w:rsidP="009518E9">
      <w:pPr>
        <w:rPr>
          <w:rFonts w:cs="Arial"/>
        </w:rPr>
      </w:pPr>
      <w:r w:rsidRPr="005D7EEC">
        <w:rPr>
          <w:rFonts w:cs="Arial"/>
          <w:noProof/>
        </w:rPr>
        <w:drawing>
          <wp:inline distT="0" distB="0" distL="0" distR="0" wp14:anchorId="75155257" wp14:editId="4AA7C6FD">
            <wp:extent cx="5731510" cy="3223260"/>
            <wp:effectExtent l="0" t="0" r="2540" b="0"/>
            <wp:docPr id="672320105" name="Picture 3" descr="Aerial perspective on five houses face a lake, landscaped edge and public pathway. Housing continued behind the immediate houses. High mountains visible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20105" name="Picture 3" descr="Aerial perspective on five houses face a lake, landscaped edge and public pathway. Housing continued behind the immediate houses. High mountains visible in the distanc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31510" cy="3223260"/>
                    </a:xfrm>
                    <a:prstGeom prst="rect">
                      <a:avLst/>
                    </a:prstGeom>
                    <a:noFill/>
                    <a:ln>
                      <a:noFill/>
                    </a:ln>
                  </pic:spPr>
                </pic:pic>
              </a:graphicData>
            </a:graphic>
          </wp:inline>
        </w:drawing>
      </w:r>
    </w:p>
    <w:p w14:paraId="642A858D" w14:textId="16A11600" w:rsidR="009518E9" w:rsidRPr="00EB61BC" w:rsidRDefault="009518E9" w:rsidP="009518E9">
      <w:pPr>
        <w:rPr>
          <w:rFonts w:cs="Arial"/>
          <w:i/>
        </w:rPr>
      </w:pPr>
      <w:r w:rsidRPr="005D7EEC">
        <w:rPr>
          <w:rFonts w:cs="Arial"/>
          <w:i/>
        </w:rPr>
        <w:t xml:space="preserve">Figure 5.3: </w:t>
      </w:r>
      <w:r w:rsidR="003E2BFE" w:rsidRPr="005D7EEC">
        <w:rPr>
          <w:rFonts w:cs="Arial"/>
          <w:i/>
        </w:rPr>
        <w:t>Houses adjacent to Oquirrh Lake in Daybreak, Utah. O2O Creative via Getty Images.</w:t>
      </w:r>
    </w:p>
    <w:p w14:paraId="4E52628A" w14:textId="0BEC0D8C" w:rsidR="009518E9" w:rsidRPr="005D7EEC" w:rsidRDefault="00057D7F" w:rsidP="00CE5506">
      <w:pPr>
        <w:pStyle w:val="Heading2"/>
        <w:rPr>
          <w:rFonts w:cs="Arial"/>
        </w:rPr>
      </w:pPr>
      <w:r w:rsidRPr="005D7EEC">
        <w:rPr>
          <w:rFonts w:cs="Arial"/>
        </w:rPr>
        <w:t xml:space="preserve">6.4 </w:t>
      </w:r>
      <w:r w:rsidR="009518E9" w:rsidRPr="005D7EEC">
        <w:rPr>
          <w:rFonts w:cs="Arial"/>
        </w:rPr>
        <w:t>Governance structures</w:t>
      </w:r>
    </w:p>
    <w:p w14:paraId="499B2CB0" w14:textId="77777777" w:rsidR="009518E9" w:rsidRPr="005D7EEC" w:rsidRDefault="009518E9" w:rsidP="009518E9">
      <w:pPr>
        <w:rPr>
          <w:rFonts w:cs="Arial"/>
        </w:rPr>
      </w:pPr>
      <w:r w:rsidRPr="005D7EEC">
        <w:rPr>
          <w:rFonts w:cs="Arial"/>
        </w:rPr>
        <w:t xml:space="preserve">Originally developed by Kennecott Land, a subsidiary of multinational mining company Rio Tinto, the development is based in the buffer zone for the Bingham Canyon mine, an area that has historically been a centre for minerals and metals extraction, principally copper. The development was taken over by Larry H Miller developments in 2021. Originally envisioned as comprising 13,500 dwellings, a second phase for Daybreak was subsequently negotiated with the city of South Jordan (the relevant local planning authority). This will result in Daybreak growing to 20,000 residential units alongside a downtown area comprising around 9 million </w:t>
      </w:r>
      <w:r w:rsidRPr="005D7EEC">
        <w:rPr>
          <w:rFonts w:cs="Arial"/>
        </w:rPr>
        <w:lastRenderedPageBreak/>
        <w:t xml:space="preserve">square feet of retail and commercial space, including a baseball park to accommodate the relocation of the Salt Lake Bees.  </w:t>
      </w:r>
    </w:p>
    <w:p w14:paraId="7C9B3A75" w14:textId="0A91662E" w:rsidR="009518E9" w:rsidRPr="005D7EEC" w:rsidRDefault="009518E9" w:rsidP="009518E9">
      <w:pPr>
        <w:rPr>
          <w:rFonts w:eastAsiaTheme="majorEastAsia" w:cs="Arial"/>
          <w:b/>
          <w:color w:val="0F4761" w:themeColor="accent1" w:themeShade="BF"/>
          <w:sz w:val="28"/>
          <w:szCs w:val="40"/>
        </w:rPr>
      </w:pPr>
      <w:r w:rsidRPr="00EB61BC">
        <w:rPr>
          <w:rFonts w:cs="Arial"/>
        </w:rPr>
        <w:t>The development as a whole is repeatedly described as of ‘high quality’ in the secondary literature. This is</w:t>
      </w:r>
      <w:r w:rsidRPr="005D7EEC">
        <w:rPr>
          <w:rFonts w:cs="Arial"/>
        </w:rPr>
        <w:t xml:space="preserve"> indicated by its walkable, transport oriented, New Urbanist ethos and masterplan by Peter Calthorpe, one of the founders of the Congress for the New Urbanism, who also led the Envision Utah process</w:t>
      </w:r>
      <w:r w:rsidRPr="005D7EEC">
        <w:rPr>
          <w:rStyle w:val="EndnoteReference"/>
          <w:rFonts w:cs="Arial"/>
        </w:rPr>
        <w:endnoteReference w:id="151"/>
      </w:r>
      <w:r w:rsidRPr="005D7EEC">
        <w:rPr>
          <w:rFonts w:cs="Arial"/>
        </w:rPr>
        <w:t>. High quality is also reflected in homes built to Leadership in Energy and Environmental Design (LEED) standards - the first elementary school and community centre were built to LEED Silver standard.</w:t>
      </w:r>
    </w:p>
    <w:p w14:paraId="6A1E87D2" w14:textId="113AF9E8" w:rsidR="009518E9" w:rsidRPr="005D7EEC" w:rsidRDefault="00057D7F" w:rsidP="00CE5506">
      <w:pPr>
        <w:pStyle w:val="Heading2"/>
        <w:rPr>
          <w:rFonts w:cs="Arial"/>
        </w:rPr>
      </w:pPr>
      <w:r w:rsidRPr="005D7EEC">
        <w:rPr>
          <w:rFonts w:cs="Arial"/>
        </w:rPr>
        <w:t xml:space="preserve">6.5 </w:t>
      </w:r>
      <w:r w:rsidR="009518E9" w:rsidRPr="005D7EEC">
        <w:rPr>
          <w:rFonts w:cs="Arial"/>
        </w:rPr>
        <w:t xml:space="preserve">Thematic discussion </w:t>
      </w:r>
    </w:p>
    <w:p w14:paraId="304D8418" w14:textId="77777777" w:rsidR="009518E9" w:rsidRPr="005D7EEC" w:rsidRDefault="009518E9" w:rsidP="009518E9">
      <w:pPr>
        <w:pStyle w:val="Heading3"/>
        <w:rPr>
          <w:rFonts w:ascii="Arial" w:hAnsi="Arial" w:cs="Arial"/>
        </w:rPr>
      </w:pPr>
      <w:r w:rsidRPr="005D7EEC">
        <w:rPr>
          <w:rFonts w:ascii="Arial" w:hAnsi="Arial" w:cs="Arial"/>
        </w:rPr>
        <w:t>New towns as sites of experimentation</w:t>
      </w:r>
    </w:p>
    <w:p w14:paraId="28D1496A" w14:textId="77777777" w:rsidR="009518E9" w:rsidRPr="005D7EEC" w:rsidRDefault="009518E9" w:rsidP="009518E9">
      <w:pPr>
        <w:rPr>
          <w:rFonts w:cs="Arial"/>
        </w:rPr>
      </w:pPr>
      <w:r w:rsidRPr="005D7EEC">
        <w:rPr>
          <w:rFonts w:cs="Arial"/>
        </w:rPr>
        <w:t xml:space="preserve">Daybreak is an experimental project in at least two important ways. </w:t>
      </w:r>
    </w:p>
    <w:p w14:paraId="7FFA1FED" w14:textId="77777777" w:rsidR="009518E9" w:rsidRPr="005D7EEC" w:rsidRDefault="009518E9" w:rsidP="009518E9">
      <w:pPr>
        <w:rPr>
          <w:rFonts w:cs="Arial"/>
        </w:rPr>
      </w:pPr>
      <w:r w:rsidRPr="005D7EEC">
        <w:rPr>
          <w:rFonts w:cs="Arial"/>
        </w:rPr>
        <w:t xml:space="preserve">Firstly, it is a </w:t>
      </w:r>
      <w:r w:rsidRPr="005D7EEC">
        <w:rPr>
          <w:rFonts w:cs="Arial"/>
          <w:b/>
          <w:bCs/>
        </w:rPr>
        <w:t>redevelopment project</w:t>
      </w:r>
      <w:r w:rsidRPr="005D7EEC">
        <w:rPr>
          <w:rFonts w:cs="Arial"/>
        </w:rPr>
        <w:t xml:space="preserve">: the land that Daybreak occupies is the original buffer zone that separated the Bingham Canyon mine from all other land uses. In this sense the new town represents a very clear example of the aspiration for ‘brownfield first’ development. </w:t>
      </w:r>
    </w:p>
    <w:p w14:paraId="39A7BEAF" w14:textId="77777777" w:rsidR="009518E9" w:rsidRPr="005D7EEC" w:rsidRDefault="009518E9" w:rsidP="009518E9">
      <w:pPr>
        <w:rPr>
          <w:rFonts w:cs="Arial"/>
        </w:rPr>
      </w:pPr>
      <w:r w:rsidRPr="005D7EEC">
        <w:rPr>
          <w:rFonts w:cs="Arial"/>
        </w:rPr>
        <w:t xml:space="preserve">Secondly, Daybreak’s character marks it out as experimental in the context of the western United States. Some of the original </w:t>
      </w:r>
      <w:proofErr w:type="spellStart"/>
      <w:r w:rsidRPr="005D7EEC">
        <w:rPr>
          <w:rFonts w:cs="Arial"/>
        </w:rPr>
        <w:t>masterplanning</w:t>
      </w:r>
      <w:proofErr w:type="spellEnd"/>
      <w:r w:rsidRPr="005D7EEC">
        <w:rPr>
          <w:rFonts w:cs="Arial"/>
        </w:rPr>
        <w:t xml:space="preserve"> features of the development – walkable neighbourhoods, light rail transit, a compact, mixed use downtown, higher than average development densities, and a strong connection to nature and outdoors pursuits – marks Daybreak out as different to other significant developments in the rest of Utah and comparable states in the western US. Looking at several of these features in turn serves to illustrate important lessons that could be very meaningful for policy makers.</w:t>
      </w:r>
    </w:p>
    <w:p w14:paraId="734B1584" w14:textId="77777777" w:rsidR="009518E9" w:rsidRPr="005D7EEC" w:rsidRDefault="009518E9" w:rsidP="009518E9">
      <w:pPr>
        <w:rPr>
          <w:rFonts w:cs="Arial"/>
        </w:rPr>
      </w:pPr>
      <w:r w:rsidRPr="005D7EEC">
        <w:rPr>
          <w:rFonts w:cs="Arial"/>
        </w:rPr>
        <w:t xml:space="preserve">At 4,126 acres (1,670 hectares) Daybreak covers a significant area of land. However, it is important to note that this is part of a broader area comprising over 40,000 acres that separated the activities of Kennecott Utah Copper, a subsidiary of </w:t>
      </w:r>
      <w:r w:rsidRPr="005D7EEC">
        <w:rPr>
          <w:rFonts w:cs="Arial"/>
        </w:rPr>
        <w:lastRenderedPageBreak/>
        <w:t>the multinational mining conglomerate Rio Tinto, at Bingham Canyon mine. The status of this buffer zone is in large effect related to the scale of the extractive industry to which it relates: Bingham Canyon is reputed to be the largest human constructed excavation on the planet covering an area of approximately 2.75 miles wide and one mile deep.</w:t>
      </w:r>
    </w:p>
    <w:p w14:paraId="22854FE8" w14:textId="77777777" w:rsidR="009518E9" w:rsidRPr="005D7EEC" w:rsidRDefault="009518E9" w:rsidP="009518E9">
      <w:pPr>
        <w:rPr>
          <w:rFonts w:cs="Arial"/>
        </w:rPr>
      </w:pPr>
      <w:r w:rsidRPr="005D7EEC">
        <w:rPr>
          <w:rFonts w:cs="Arial"/>
        </w:rPr>
        <w:t>In the early 2000s as the environmental impacts of primary extractive industries became more well known and politically relevant, a new subsidiary of Kennecott Utah Copper was created, Kennecott Land. This had the specific mission of remediating part of the buffer zone and delivering a high-quality real estate project.</w:t>
      </w:r>
      <w:r w:rsidRPr="005D7EEC" w:rsidDel="007E4C0A">
        <w:rPr>
          <w:rFonts w:cs="Arial"/>
        </w:rPr>
        <w:t xml:space="preserve"> </w:t>
      </w:r>
      <w:r w:rsidRPr="005D7EEC">
        <w:rPr>
          <w:rFonts w:cs="Arial"/>
        </w:rPr>
        <w:t>To understand the broader context for this it is important to understand the position of the parent company, Rio Tinto, when work on Daybreak began in 2003.  This point was clearly made by one of our interviewees:</w:t>
      </w:r>
    </w:p>
    <w:p w14:paraId="6F5740EF" w14:textId="77777777" w:rsidR="009518E9" w:rsidRPr="005D7EEC" w:rsidRDefault="009518E9" w:rsidP="009518E9">
      <w:pPr>
        <w:ind w:left="720" w:firstLine="30"/>
        <w:rPr>
          <w:rFonts w:cs="Arial"/>
        </w:rPr>
      </w:pPr>
      <w:r w:rsidRPr="005D7EEC">
        <w:rPr>
          <w:rFonts w:cs="Arial"/>
        </w:rPr>
        <w:t xml:space="preserve">“Daybreak was a postcard for Rio Tinto when they went to other places around the world seeking mining licences. Daybreak was their postcard to say, ‘this is what we did with the land after we went away’”. </w:t>
      </w:r>
    </w:p>
    <w:p w14:paraId="0162FFDF" w14:textId="77777777" w:rsidR="009518E9" w:rsidRPr="005D7EEC" w:rsidRDefault="009518E9" w:rsidP="009518E9">
      <w:pPr>
        <w:rPr>
          <w:rFonts w:cs="Arial"/>
        </w:rPr>
      </w:pPr>
      <w:r w:rsidRPr="005D7EEC">
        <w:rPr>
          <w:rFonts w:cs="Arial"/>
        </w:rPr>
        <w:t xml:space="preserve">From this perspective some of the specific characteristics of Daybreak and the quality of the development itself can be </w:t>
      </w:r>
      <w:r w:rsidRPr="00EB61BC">
        <w:rPr>
          <w:rFonts w:cs="Arial"/>
        </w:rPr>
        <w:t>understood as a form of experimentation driven by a desire to showcase corporate social and environmental responsibility. This observation may have been important</w:t>
      </w:r>
      <w:r w:rsidRPr="005D7EEC">
        <w:rPr>
          <w:rFonts w:cs="Arial"/>
        </w:rPr>
        <w:t xml:space="preserve"> in understanding the freedom that was given to the original </w:t>
      </w:r>
      <w:proofErr w:type="spellStart"/>
      <w:r w:rsidRPr="005D7EEC">
        <w:rPr>
          <w:rFonts w:cs="Arial"/>
        </w:rPr>
        <w:t>masterplanning</w:t>
      </w:r>
      <w:proofErr w:type="spellEnd"/>
      <w:r w:rsidRPr="005D7EEC">
        <w:rPr>
          <w:rFonts w:cs="Arial"/>
        </w:rPr>
        <w:t xml:space="preserve"> agency, Calthorpe and Associates, to deviate from some of the policy and design principles that would have been considered the norm in other contexts both in Utah and neighbouring states. </w:t>
      </w:r>
    </w:p>
    <w:p w14:paraId="4DFEC8FB" w14:textId="77777777" w:rsidR="009518E9" w:rsidRPr="005D7EEC" w:rsidRDefault="009518E9" w:rsidP="009518E9">
      <w:pPr>
        <w:rPr>
          <w:rFonts w:cs="Arial"/>
        </w:rPr>
      </w:pPr>
      <w:r w:rsidRPr="005D7EEC">
        <w:rPr>
          <w:rFonts w:cs="Arial"/>
        </w:rPr>
        <w:t xml:space="preserve">This second point, the character of Daybreak’s development as a form of experimentation, can be seen in some of the features of the </w:t>
      </w:r>
      <w:proofErr w:type="spellStart"/>
      <w:r w:rsidRPr="005D7EEC">
        <w:rPr>
          <w:rFonts w:cs="Arial"/>
        </w:rPr>
        <w:t>masterplanning</w:t>
      </w:r>
      <w:proofErr w:type="spellEnd"/>
      <w:r w:rsidRPr="005D7EEC">
        <w:rPr>
          <w:rFonts w:cs="Arial"/>
        </w:rPr>
        <w:t>.  For example, the location of educational premises was determined on the principle that all households should be within walking distance of suitable schooling. This is a mainstream New Urbanist principle but should be understood as highly experimental in the western US where school commutes can be lengthy and are often undertaken by bus or, most commonly, by car.</w:t>
      </w:r>
    </w:p>
    <w:p w14:paraId="42711D27" w14:textId="77777777" w:rsidR="009518E9" w:rsidRPr="005D7EEC" w:rsidRDefault="009518E9" w:rsidP="009518E9">
      <w:pPr>
        <w:rPr>
          <w:rFonts w:cs="Arial"/>
        </w:rPr>
      </w:pPr>
      <w:r w:rsidRPr="005D7EEC">
        <w:rPr>
          <w:rFonts w:cs="Arial"/>
        </w:rPr>
        <w:lastRenderedPageBreak/>
        <w:t>Delivering a development that includes this principle of walkable neighbourhoods in turn required greater densities than would typically be the case in comparable situations. Daybreak’s masterplan uses a tripartite typology of ‘neighbourhood’, ‘village’ and ‘town’ to provide a mix of dwelling types</w:t>
      </w:r>
      <w:r w:rsidRPr="005D7EEC">
        <w:rPr>
          <w:rStyle w:val="EndnoteReference"/>
          <w:rFonts w:cs="Arial"/>
        </w:rPr>
        <w:endnoteReference w:id="152"/>
      </w:r>
      <w:r w:rsidRPr="005D7EEC">
        <w:rPr>
          <w:rFonts w:cs="Arial"/>
        </w:rPr>
        <w:t xml:space="preserve">. These contrast markedly with other semi-rural contexts in Utah and comparable development situations in other states. The densities range from around five units per acre in ‘neighbourhoods’ (which would be typical in Utah) to 18-25 dwellings per acre in the ‘village’ settings and over 25 dwellings per acre in the ‘town’ contexts (Figure 5.3). </w:t>
      </w:r>
    </w:p>
    <w:p w14:paraId="0878298D" w14:textId="77777777" w:rsidR="009518E9" w:rsidRPr="005D7EEC" w:rsidRDefault="009518E9" w:rsidP="009518E9">
      <w:pPr>
        <w:rPr>
          <w:rFonts w:cs="Arial"/>
        </w:rPr>
      </w:pPr>
      <w:r w:rsidRPr="005D7EEC">
        <w:rPr>
          <w:rFonts w:cs="Arial"/>
        </w:rPr>
        <w:t xml:space="preserve">These densities have resulted in urban design features which further mark Daybreak out as atypical and ‘experimental’ in the context of the western USA. For example, in the most densely developed </w:t>
      </w:r>
      <w:bookmarkStart w:id="32" w:name="_Hlk205201702"/>
      <w:r w:rsidRPr="005D7EEC">
        <w:rPr>
          <w:rFonts w:cs="Arial"/>
        </w:rPr>
        <w:t xml:space="preserve">parts of Daybreak residents parking is housed in parking garages that are sensitively hidden, </w:t>
      </w:r>
      <w:bookmarkEnd w:id="32"/>
      <w:r w:rsidRPr="005D7EEC">
        <w:rPr>
          <w:rFonts w:cs="Arial"/>
        </w:rPr>
        <w:t>typically at the rear of dwellings to remove cars from property’s frontages.</w:t>
      </w:r>
    </w:p>
    <w:p w14:paraId="04DECB89" w14:textId="77777777" w:rsidR="009518E9" w:rsidRPr="005D7EEC" w:rsidRDefault="009518E9" w:rsidP="009518E9">
      <w:pPr>
        <w:rPr>
          <w:rFonts w:cs="Arial"/>
        </w:rPr>
      </w:pPr>
      <w:r w:rsidRPr="005D7EEC">
        <w:rPr>
          <w:rFonts w:cs="Arial"/>
        </w:rPr>
        <w:t>For one interviewee these aspects of the development clearly mark Daybreak out as quite different to what might typically be the case in other comparable contexts:</w:t>
      </w:r>
    </w:p>
    <w:p w14:paraId="7232FAEB" w14:textId="77777777" w:rsidR="009518E9" w:rsidRPr="005D7EEC" w:rsidRDefault="009518E9" w:rsidP="009518E9">
      <w:pPr>
        <w:ind w:left="720"/>
        <w:rPr>
          <w:rFonts w:cs="Arial"/>
        </w:rPr>
      </w:pPr>
      <w:r w:rsidRPr="005D7EEC">
        <w:rPr>
          <w:rFonts w:cs="Arial"/>
        </w:rPr>
        <w:t>“The scale and density of development is remarkable for Utah – particularly in the town houses where parking has been handled so sensitively”.</w:t>
      </w:r>
    </w:p>
    <w:p w14:paraId="28D0F365" w14:textId="77777777" w:rsidR="009518E9" w:rsidRPr="005D7EEC" w:rsidRDefault="009518E9" w:rsidP="009518E9">
      <w:pPr>
        <w:pStyle w:val="Heading3"/>
        <w:rPr>
          <w:rFonts w:ascii="Arial" w:hAnsi="Arial" w:cs="Arial"/>
        </w:rPr>
      </w:pPr>
      <w:r w:rsidRPr="005D7EEC">
        <w:rPr>
          <w:rFonts w:ascii="Arial" w:hAnsi="Arial" w:cs="Arial"/>
        </w:rPr>
        <w:t>New Towns as political and ideological projects</w:t>
      </w:r>
    </w:p>
    <w:p w14:paraId="7316446D" w14:textId="77777777" w:rsidR="009518E9" w:rsidRPr="005D7EEC" w:rsidRDefault="009518E9" w:rsidP="009518E9">
      <w:pPr>
        <w:rPr>
          <w:rFonts w:cs="Arial"/>
        </w:rPr>
      </w:pPr>
      <w:r w:rsidRPr="005D7EEC">
        <w:rPr>
          <w:rFonts w:cs="Arial"/>
        </w:rPr>
        <w:t>The strong association between the state of Utah and the LDS church is well-known and has inevitably had an impact on Daybreak’s development. A report by the Urban Land Institute clearly makes this point:</w:t>
      </w:r>
    </w:p>
    <w:p w14:paraId="384C0887" w14:textId="77777777" w:rsidR="009518E9" w:rsidRPr="005D7EEC" w:rsidRDefault="009518E9" w:rsidP="009518E9">
      <w:pPr>
        <w:ind w:left="720"/>
        <w:rPr>
          <w:rFonts w:cs="Arial"/>
        </w:rPr>
      </w:pPr>
      <w:r w:rsidRPr="005D7EEC">
        <w:rPr>
          <w:rFonts w:cs="Arial"/>
        </w:rPr>
        <w:t>“Market studies conducted through the 1990s established that 65 percent of Salt Lake Valley residents were Mormons, a market that, on the whole, places a high value on homeownership and education”</w:t>
      </w:r>
      <w:r w:rsidRPr="005D7EEC">
        <w:rPr>
          <w:rFonts w:cs="Arial"/>
          <w:vertAlign w:val="superscript"/>
        </w:rPr>
        <w:endnoteReference w:id="153"/>
      </w:r>
      <w:r w:rsidRPr="005D7EEC">
        <w:rPr>
          <w:rFonts w:cs="Arial"/>
        </w:rPr>
        <w:t>.</w:t>
      </w:r>
    </w:p>
    <w:p w14:paraId="2B104F6F" w14:textId="5BE802FB" w:rsidR="009518E9" w:rsidRPr="005D7EEC" w:rsidRDefault="009518E9" w:rsidP="009518E9">
      <w:pPr>
        <w:rPr>
          <w:rFonts w:cs="Arial"/>
        </w:rPr>
      </w:pPr>
      <w:r w:rsidRPr="005D7EEC">
        <w:rPr>
          <w:rFonts w:cs="Arial"/>
        </w:rPr>
        <w:t xml:space="preserve">Whilst there is no explicit association between the LDS church and Daybreak there are some connections that point to the relevance of this feature of Utah’s specific </w:t>
      </w:r>
      <w:r w:rsidRPr="005D7EEC">
        <w:rPr>
          <w:rFonts w:cs="Arial"/>
        </w:rPr>
        <w:lastRenderedPageBreak/>
        <w:t xml:space="preserve">culture. For example, the Oquirrh Mountain Temple (Figure 5.4) was built on land at the edge of Daybreak which was donated by Kennecott Land to the LDS church. </w:t>
      </w:r>
    </w:p>
    <w:p w14:paraId="2BC414F1" w14:textId="49D388DD" w:rsidR="009518E9" w:rsidRPr="005D7EEC" w:rsidRDefault="00C04C6E" w:rsidP="009518E9">
      <w:pPr>
        <w:rPr>
          <w:rFonts w:cs="Arial"/>
          <w:sz w:val="20"/>
          <w:szCs w:val="20"/>
        </w:rPr>
      </w:pPr>
      <w:r w:rsidRPr="005D7EEC">
        <w:rPr>
          <w:rFonts w:cs="Arial"/>
          <w:noProof/>
        </w:rPr>
        <w:drawing>
          <wp:inline distT="0" distB="0" distL="0" distR="0" wp14:anchorId="53DE2E64" wp14:editId="68276703">
            <wp:extent cx="5731510" cy="3820795"/>
            <wp:effectExtent l="0" t="0" r="2540" b="8255"/>
            <wp:docPr id="478145672" name="Picture 4" descr="Large white temple situated within a landscape of housing, with a valley in the foreground and snow-capped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45672" name="Picture 4" descr="Large white temple situated within a landscape of housing, with a valley in the foreground and snow-capped mountains in the distan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31510" cy="3820795"/>
                    </a:xfrm>
                    <a:prstGeom prst="rect">
                      <a:avLst/>
                    </a:prstGeom>
                    <a:noFill/>
                    <a:ln>
                      <a:noFill/>
                    </a:ln>
                  </pic:spPr>
                </pic:pic>
              </a:graphicData>
            </a:graphic>
          </wp:inline>
        </w:drawing>
      </w:r>
    </w:p>
    <w:p w14:paraId="47C0D11E" w14:textId="552A3E51" w:rsidR="009518E9" w:rsidRPr="00EB61BC" w:rsidRDefault="009518E9" w:rsidP="009518E9">
      <w:pPr>
        <w:rPr>
          <w:rFonts w:cs="Arial"/>
          <w:i/>
        </w:rPr>
      </w:pPr>
      <w:r w:rsidRPr="005D7EEC">
        <w:rPr>
          <w:rFonts w:cs="Arial"/>
          <w:i/>
        </w:rPr>
        <w:t xml:space="preserve">Figure 5.4: </w:t>
      </w:r>
      <w:r w:rsidR="00781E76" w:rsidRPr="005D7EEC">
        <w:rPr>
          <w:rFonts w:cs="Arial"/>
          <w:i/>
        </w:rPr>
        <w:t>The Draper Temple of the Latter Day Saints within Daybreak, Utah. (c) Salil Bhatt via Getty Images.</w:t>
      </w:r>
    </w:p>
    <w:p w14:paraId="4B235074" w14:textId="77777777" w:rsidR="009518E9" w:rsidRPr="005D7EEC" w:rsidRDefault="009518E9" w:rsidP="009518E9">
      <w:pPr>
        <w:rPr>
          <w:rFonts w:cs="Arial"/>
        </w:rPr>
      </w:pPr>
      <w:r w:rsidRPr="005D7EEC">
        <w:rPr>
          <w:rFonts w:cs="Arial"/>
        </w:rPr>
        <w:t>The general connection between some of the features that have been important in the development of Daybreak and some of the characteristics that have sometimes been attributed to the LDS church were well made by one interviewee:</w:t>
      </w:r>
    </w:p>
    <w:p w14:paraId="24D242D7" w14:textId="77777777" w:rsidR="009518E9" w:rsidRPr="005D7EEC" w:rsidRDefault="009518E9" w:rsidP="009518E9">
      <w:pPr>
        <w:ind w:left="720"/>
        <w:rPr>
          <w:rFonts w:cs="Arial"/>
        </w:rPr>
      </w:pPr>
      <w:r w:rsidRPr="005D7EEC">
        <w:rPr>
          <w:rFonts w:cs="Arial"/>
        </w:rPr>
        <w:t>“A big thing for Utahns is that we love our access to the outdoors. Family-orientated community is also important to many people. People want their kids to be outside and safe and know where they are. It draws a lot of families to the Daybreak area. Lots for the kids to do in the neighbourhood – different to an urban setting where there is an opportunity for kids to get into trouble.”</w:t>
      </w:r>
    </w:p>
    <w:p w14:paraId="6852F79B" w14:textId="77777777" w:rsidR="00EB61BC" w:rsidRDefault="009518E9" w:rsidP="00EB61BC">
      <w:r w:rsidRPr="005D7EEC">
        <w:t xml:space="preserve">Features of Daybreak’s character - dwelling types and tenure, the connection to the natural environment, walkable, safe neighbourhoods and good quality schooling – all </w:t>
      </w:r>
      <w:r w:rsidRPr="005D7EEC">
        <w:lastRenderedPageBreak/>
        <w:t>speak directly to priorities that are consistent with Utah’s specific demographic features. These are elements that are core to a New Urbanist placemaking approach.</w:t>
      </w:r>
    </w:p>
    <w:p w14:paraId="2B2796C4" w14:textId="784ACACC" w:rsidR="009518E9" w:rsidRPr="005D7EEC" w:rsidRDefault="00057D7F" w:rsidP="00EB61BC">
      <w:pPr>
        <w:pStyle w:val="Heading2"/>
      </w:pPr>
      <w:r w:rsidRPr="005D7EEC">
        <w:t xml:space="preserve">6.6 </w:t>
      </w:r>
      <w:r w:rsidR="009518E9" w:rsidRPr="005D7EEC">
        <w:t xml:space="preserve">Adaptability and flexibility: Levers and barriers </w:t>
      </w:r>
    </w:p>
    <w:p w14:paraId="28CFB09A" w14:textId="77777777" w:rsidR="009518E9" w:rsidRPr="005D7EEC" w:rsidRDefault="009518E9" w:rsidP="009518E9">
      <w:pPr>
        <w:rPr>
          <w:rFonts w:cs="Arial"/>
        </w:rPr>
      </w:pPr>
      <w:r w:rsidRPr="005D7EEC">
        <w:rPr>
          <w:rFonts w:cs="Arial"/>
        </w:rPr>
        <w:t>Two overarching contextual features help to judge the success of the development.</w:t>
      </w:r>
    </w:p>
    <w:p w14:paraId="42B6BDCA" w14:textId="77777777" w:rsidR="009518E9" w:rsidRPr="005D7EEC" w:rsidRDefault="009518E9" w:rsidP="009518E9">
      <w:pPr>
        <w:pStyle w:val="Heading3"/>
        <w:rPr>
          <w:rFonts w:ascii="Arial" w:hAnsi="Arial" w:cs="Arial"/>
        </w:rPr>
      </w:pPr>
      <w:r w:rsidRPr="005D7EEC">
        <w:rPr>
          <w:rFonts w:ascii="Arial" w:hAnsi="Arial" w:cs="Arial"/>
        </w:rPr>
        <w:t>Remediation of brownfield land</w:t>
      </w:r>
    </w:p>
    <w:p w14:paraId="779BD0E9" w14:textId="77777777" w:rsidR="009518E9" w:rsidRPr="005D7EEC" w:rsidRDefault="009518E9" w:rsidP="009518E9">
      <w:pPr>
        <w:rPr>
          <w:rFonts w:cs="Arial"/>
        </w:rPr>
      </w:pPr>
      <w:r w:rsidRPr="005D7EEC">
        <w:rPr>
          <w:rFonts w:cs="Arial"/>
        </w:rPr>
        <w:t>The extent of the contamination present at the core of the site is well-described by the Urban Land Institute case study published early in Daybreak’s development. This noted much of the land had originally been used for farming. It was then a site for evaporation ponds associated with mining in Bingham Canyon. The soil where the ponds were located also had elevated levels of heavy metals that needed to be remediated. The site developer, Kennecott Land, decided to go beyond standard industry practice and spent tens of millions of dollars to remove the remaining pond sediment from the site in order to develop an 85-acre (34-hectare) lake and housing on the east side of Daybreak</w:t>
      </w:r>
      <w:r w:rsidRPr="005D7EEC">
        <w:rPr>
          <w:rFonts w:cs="Arial"/>
          <w:vertAlign w:val="superscript"/>
        </w:rPr>
        <w:endnoteReference w:id="154"/>
      </w:r>
      <w:r w:rsidRPr="005D7EEC">
        <w:rPr>
          <w:rFonts w:cs="Arial"/>
        </w:rPr>
        <w:t>.</w:t>
      </w:r>
    </w:p>
    <w:p w14:paraId="2FAA7561" w14:textId="77777777" w:rsidR="009518E9" w:rsidRPr="005D7EEC" w:rsidRDefault="009518E9" w:rsidP="009518E9">
      <w:pPr>
        <w:rPr>
          <w:rFonts w:cs="Arial"/>
        </w:rPr>
      </w:pPr>
      <w:r w:rsidRPr="005D7EEC">
        <w:rPr>
          <w:rFonts w:cs="Arial"/>
        </w:rPr>
        <w:t xml:space="preserve">In many societies the political goal of encouraging new housing to be delivered on brownfield sites finds a telling obstacle in the economics of the private development industry. The extra costs of cleanup in brownfield settings make them far less attractive than greenfield contexts, which are generally more straightforward and, usually, more profitable.  It is a significant success of Daybreak that an area which for decades was the buffer zone for such an enormous copper mining operation has been transformed over a twenty-year period into a large community, sensitively incorporated into the spectacular local environment and supported by relevant infrastructure, including schools, public transport, and recreation facilities.  </w:t>
      </w:r>
    </w:p>
    <w:p w14:paraId="3965D218" w14:textId="77777777" w:rsidR="009518E9" w:rsidRPr="005D7EEC" w:rsidRDefault="009518E9" w:rsidP="009518E9">
      <w:pPr>
        <w:pStyle w:val="Heading3"/>
        <w:rPr>
          <w:rFonts w:ascii="Arial" w:hAnsi="Arial" w:cs="Arial"/>
        </w:rPr>
      </w:pPr>
      <w:r w:rsidRPr="005D7EEC">
        <w:rPr>
          <w:rFonts w:ascii="Arial" w:hAnsi="Arial" w:cs="Arial"/>
        </w:rPr>
        <w:t>Affordability</w:t>
      </w:r>
    </w:p>
    <w:p w14:paraId="1239C3FB" w14:textId="77777777" w:rsidR="009518E9" w:rsidRPr="005D7EEC" w:rsidRDefault="009518E9" w:rsidP="009518E9">
      <w:pPr>
        <w:rPr>
          <w:rFonts w:cs="Arial"/>
        </w:rPr>
      </w:pPr>
      <w:r w:rsidRPr="005D7EEC">
        <w:rPr>
          <w:rFonts w:cs="Arial"/>
        </w:rPr>
        <w:t xml:space="preserve">Perhaps the most significant downside to Daybreak is the common issue that frequently accompanies the creation of desirable new places: unaffordability.  </w:t>
      </w:r>
      <w:r w:rsidRPr="005D7EEC">
        <w:rPr>
          <w:rFonts w:cs="Arial"/>
        </w:rPr>
        <w:lastRenderedPageBreak/>
        <w:t>According to Redfin.com as of June 2025 the median price of a dwelling in Daybreak was $594,088, up 3.6 percent</w:t>
      </w:r>
      <w:r w:rsidRPr="005D7EEC" w:rsidDel="004E2091">
        <w:rPr>
          <w:rFonts w:cs="Arial"/>
        </w:rPr>
        <w:t xml:space="preserve"> </w:t>
      </w:r>
      <w:r w:rsidRPr="005D7EEC">
        <w:rPr>
          <w:rFonts w:cs="Arial"/>
        </w:rPr>
        <w:t>year on year, compared to a state-wide median average of $523,000. As one interviewee noted, there is a clear market premium to Daybreak’s real estate because of its housing and landscape design quality:</w:t>
      </w:r>
    </w:p>
    <w:p w14:paraId="4D201ED1" w14:textId="77777777" w:rsidR="009518E9" w:rsidRPr="005D7EEC" w:rsidRDefault="009518E9" w:rsidP="009518E9">
      <w:pPr>
        <w:ind w:left="720"/>
        <w:rPr>
          <w:rFonts w:cs="Arial"/>
        </w:rPr>
      </w:pPr>
      <w:r w:rsidRPr="005D7EEC">
        <w:rPr>
          <w:rFonts w:cs="Arial"/>
        </w:rPr>
        <w:t>“You can get the same square footage of home just outside Daybreak for around 10 percent</w:t>
      </w:r>
      <w:r w:rsidRPr="005D7EEC" w:rsidDel="0097096B">
        <w:rPr>
          <w:rFonts w:cs="Arial"/>
        </w:rPr>
        <w:t xml:space="preserve"> </w:t>
      </w:r>
      <w:r w:rsidRPr="005D7EEC">
        <w:rPr>
          <w:rFonts w:cs="Arial"/>
        </w:rPr>
        <w:t>less.</w:t>
      </w:r>
      <w:r w:rsidRPr="005D7EEC" w:rsidDel="00B36EBB">
        <w:rPr>
          <w:rFonts w:cs="Arial"/>
        </w:rPr>
        <w:t xml:space="preserve"> </w:t>
      </w:r>
      <w:r w:rsidRPr="005D7EEC">
        <w:rPr>
          <w:rFonts w:cs="Arial"/>
        </w:rPr>
        <w:t>But the architecture of the homes and the landscape architecture creates that emotional response that you are getting something special. That is what makes Daybreak different”.</w:t>
      </w:r>
    </w:p>
    <w:p w14:paraId="644B1F53" w14:textId="77777777" w:rsidR="009518E9" w:rsidRPr="005D7EEC" w:rsidRDefault="009518E9" w:rsidP="009518E9">
      <w:pPr>
        <w:rPr>
          <w:rFonts w:cs="Arial"/>
        </w:rPr>
      </w:pPr>
      <w:r w:rsidRPr="005D7EEC">
        <w:rPr>
          <w:rFonts w:cs="Arial"/>
        </w:rPr>
        <w:t>Unlike many contexts where housing affordability is an issue, in many states of the US there is not always a mandatory policy of requiring developers to provide a proportion of dwellings on an affordable tenure. The result is that Daybreak comprises only market housing. The ‘developer’s contribution’ that would often materialise as a fraction of affordable dwellings in other contexts has been realised in other forms of infrastructure such as new school premises and three stations on the red line of the Utah Transit Authority’s TRAX public transport network. The result is a large-scale new community that is well served by services and infrastructure but characterised by a mono-tenure market housing offering.</w:t>
      </w:r>
    </w:p>
    <w:p w14:paraId="30FDA678" w14:textId="77777777" w:rsidR="009518E9" w:rsidRPr="005D7EEC" w:rsidRDefault="009518E9" w:rsidP="009518E9">
      <w:pPr>
        <w:rPr>
          <w:rFonts w:cs="Arial"/>
        </w:rPr>
      </w:pPr>
      <w:r w:rsidRPr="005D7EEC">
        <w:rPr>
          <w:rFonts w:cs="Arial"/>
        </w:rPr>
        <w:t xml:space="preserve">It is unlikely that many new towns in other contexts would proceed purely via a </w:t>
      </w:r>
      <w:r w:rsidRPr="005D7EEC" w:rsidDel="00226EA3">
        <w:rPr>
          <w:rFonts w:cs="Arial"/>
        </w:rPr>
        <w:t>market</w:t>
      </w:r>
      <w:r w:rsidRPr="005D7EEC">
        <w:rPr>
          <w:rFonts w:cs="Arial"/>
        </w:rPr>
        <w:t>-based approach. The delivery of homes on an affordable tenure is politically and culturally a priority in many settings.</w:t>
      </w:r>
      <w:r w:rsidRPr="005D7EEC" w:rsidDel="006A7993">
        <w:rPr>
          <w:rFonts w:cs="Arial"/>
        </w:rPr>
        <w:t xml:space="preserve"> </w:t>
      </w:r>
      <w:r w:rsidRPr="005D7EEC">
        <w:rPr>
          <w:rFonts w:cs="Arial"/>
        </w:rPr>
        <w:t>Indeed, there is evidence that the issue of affordability has risen up the political agenda in Utah</w:t>
      </w:r>
      <w:r w:rsidRPr="005D7EEC">
        <w:rPr>
          <w:rFonts w:cs="Arial"/>
          <w:vertAlign w:val="superscript"/>
        </w:rPr>
        <w:endnoteReference w:id="155"/>
      </w:r>
      <w:r w:rsidRPr="005D7EEC">
        <w:rPr>
          <w:rFonts w:cs="Arial"/>
        </w:rPr>
        <w:t xml:space="preserve"> with it potentially becoming more likely that developments may be required to include a proportion of affordable homes in the future.</w:t>
      </w:r>
      <w:r w:rsidRPr="005D7EEC" w:rsidDel="004F1833">
        <w:rPr>
          <w:rFonts w:cs="Arial"/>
        </w:rPr>
        <w:t xml:space="preserve"> </w:t>
      </w:r>
      <w:r w:rsidRPr="005D7EEC">
        <w:rPr>
          <w:rFonts w:cs="Arial"/>
        </w:rPr>
        <w:t>For example, of the 2817 new dwellings consented at Terraine in the Utah’s ‘West Bench’ area 350 dwellings will be reserved for rental</w:t>
      </w:r>
      <w:r w:rsidRPr="005D7EEC">
        <w:rPr>
          <w:rFonts w:cs="Arial"/>
          <w:vertAlign w:val="superscript"/>
        </w:rPr>
        <w:endnoteReference w:id="156"/>
      </w:r>
      <w:r w:rsidRPr="005D7EEC">
        <w:rPr>
          <w:rFonts w:cs="Arial"/>
        </w:rPr>
        <w:t xml:space="preserve">. </w:t>
      </w:r>
    </w:p>
    <w:p w14:paraId="0DE811FA" w14:textId="77777777" w:rsidR="009518E9" w:rsidRPr="005D7EEC" w:rsidRDefault="009518E9" w:rsidP="009518E9">
      <w:pPr>
        <w:rPr>
          <w:rFonts w:cs="Arial"/>
        </w:rPr>
      </w:pPr>
      <w:r w:rsidRPr="005D7EEC">
        <w:rPr>
          <w:rFonts w:cs="Arial"/>
        </w:rPr>
        <w:t xml:space="preserve">Despite this overarching issue, there are also examples of more affordable housing schemes and house types in Daybreak. This fits into the ‘missing middle’ approach to housing. This focuses on affordable housing types that meet a variety of housing needs that are discouraged by conventional development. Missing middle types includes a range of smaller, more affordable options such as ‘accessory dwelling units’ often above garages, cottages and tiny homes, mews houses and town centre </w:t>
      </w:r>
      <w:r w:rsidRPr="005D7EEC">
        <w:rPr>
          <w:rFonts w:cs="Arial"/>
        </w:rPr>
        <w:lastRenderedPageBreak/>
        <w:t>apartments above commercial and retail spaces</w:t>
      </w:r>
      <w:r w:rsidRPr="005D7EEC">
        <w:rPr>
          <w:rStyle w:val="EndnoteReference"/>
          <w:rFonts w:cs="Arial"/>
        </w:rPr>
        <w:endnoteReference w:id="157"/>
      </w:r>
      <w:r w:rsidRPr="005D7EEC">
        <w:rPr>
          <w:rFonts w:cs="Arial"/>
        </w:rPr>
        <w:t>. In Daybreak, the development Daybreak Mews is an example of more affordable town homes below the median price in the new town because of their smaller size</w:t>
      </w:r>
      <w:r w:rsidRPr="005D7EEC">
        <w:rPr>
          <w:rStyle w:val="EndnoteReference"/>
          <w:rFonts w:cs="Arial"/>
        </w:rPr>
        <w:endnoteReference w:id="158"/>
      </w:r>
      <w:r w:rsidRPr="005D7EEC">
        <w:rPr>
          <w:rFonts w:cs="Arial"/>
        </w:rPr>
        <w:t>.</w:t>
      </w:r>
    </w:p>
    <w:p w14:paraId="1B066922" w14:textId="77777777" w:rsidR="009518E9" w:rsidRPr="005D7EEC" w:rsidRDefault="009518E9" w:rsidP="009518E9">
      <w:pPr>
        <w:rPr>
          <w:rFonts w:cs="Arial"/>
        </w:rPr>
      </w:pPr>
      <w:r w:rsidRPr="005D7EEC">
        <w:rPr>
          <w:rFonts w:cs="Arial"/>
        </w:rPr>
        <w:t>However, it is important to note that there are trade-offs and those features of Daybreak that can be considered a success are to some extent built upon the profitability of the development supporting investment in community benefits other than affordable housing. Compromising the market-orientated nature of the development would inevitably have an impact on the scale of investment available for public goods. This raises an important question for any future generation of new towns: how the uplift in land values resulting from consent to develop at such as scale is materialised in public goods.</w:t>
      </w:r>
    </w:p>
    <w:p w14:paraId="4F000EAC" w14:textId="77777777" w:rsidR="00BF7993" w:rsidRPr="008452E0" w:rsidRDefault="00BF7993" w:rsidP="00BF7993">
      <w:pPr>
        <w:pStyle w:val="Heading2"/>
      </w:pPr>
      <w:r>
        <w:t xml:space="preserve">6.7 </w:t>
      </w:r>
      <w:r w:rsidRPr="008452E0">
        <w:t xml:space="preserve">Key lessons for policy makers and others </w:t>
      </w:r>
    </w:p>
    <w:p w14:paraId="503FC2E9" w14:textId="77777777" w:rsidR="00BF7993" w:rsidRPr="008452E0" w:rsidRDefault="00BF7993" w:rsidP="00BF7993">
      <w:pPr>
        <w:rPr>
          <w:rFonts w:cs="Arial"/>
        </w:rPr>
      </w:pPr>
      <w:r w:rsidRPr="008452E0">
        <w:rPr>
          <w:rFonts w:cs="Arial"/>
        </w:rPr>
        <w:t>In some respects, there are features of Daybreak that make it almost unique. It is located on very large area of land which is solely in the ownership of a hugely significant multi-national corporation. The goal of creating a community of a substantial scale and high quality is part of a broader goal of illustrating Rio Tinto’s commitment to social and environmental corporate social responsibility. The quality of the built environment and the supporting infrastructure stems from this foundational goal of creating what one interviewee referred to as a ‘postcard’ for these exemplary actions. Nevertheless, there are three ways in which Daybreak serves to provide lessons for policy makers in other settings.</w:t>
      </w:r>
    </w:p>
    <w:p w14:paraId="39254A19" w14:textId="77777777" w:rsidR="00BF7993" w:rsidRPr="008452E0" w:rsidRDefault="00BF7993" w:rsidP="00BF7993">
      <w:pPr>
        <w:pStyle w:val="Heading3"/>
      </w:pPr>
      <w:r w:rsidRPr="008452E0">
        <w:t>Lesson 1: Land value uplift and trade-offs</w:t>
      </w:r>
    </w:p>
    <w:p w14:paraId="669878AC" w14:textId="77777777" w:rsidR="00BF7993" w:rsidRPr="008452E0" w:rsidRDefault="00BF7993" w:rsidP="00BF7993">
      <w:pPr>
        <w:rPr>
          <w:rFonts w:cs="Arial"/>
        </w:rPr>
      </w:pPr>
      <w:r w:rsidRPr="008452E0">
        <w:rPr>
          <w:rFonts w:cs="Arial"/>
        </w:rPr>
        <w:t>As a new town of a considerable size – initially over 13,500 dwellings, latterly 20,000 dwellings – the uplift in land values resulting from consent to develop has been returned to the site of development in the form of a range of public goods.</w:t>
      </w:r>
    </w:p>
    <w:p w14:paraId="025A454A" w14:textId="77777777" w:rsidR="00BF7993" w:rsidRPr="008452E0" w:rsidRDefault="00BF7993" w:rsidP="00BF7993">
      <w:pPr>
        <w:rPr>
          <w:rFonts w:cs="Arial"/>
        </w:rPr>
      </w:pPr>
      <w:r w:rsidRPr="008452E0">
        <w:rPr>
          <w:rFonts w:cs="Arial"/>
        </w:rPr>
        <w:t xml:space="preserve">In the initial plan for Daybreak these ‘developer contributions’ took the form of public goods such as school buildings and the TRAX public transport infrastructure. As consent for Daybreak extended to 20,000 dwellings, it has worked on the </w:t>
      </w:r>
      <w:r w:rsidRPr="008452E0">
        <w:rPr>
          <w:rFonts w:cs="Arial"/>
        </w:rPr>
        <w:lastRenderedPageBreak/>
        <w:t>development of the downtown area. This is comprising light rail stations, commercial space, office space, a health campus, a library, retail and entertainment uses including an amphitheatre and performing arts centre, and a baseball stadium.</w:t>
      </w:r>
    </w:p>
    <w:p w14:paraId="5C20E373" w14:textId="77777777" w:rsidR="00BF7993" w:rsidRPr="008452E0" w:rsidRDefault="00BF7993" w:rsidP="00BF7993">
      <w:pPr>
        <w:rPr>
          <w:rFonts w:cs="Arial"/>
        </w:rPr>
      </w:pPr>
      <w:r w:rsidRPr="008452E0">
        <w:rPr>
          <w:rFonts w:cs="Arial"/>
        </w:rPr>
        <w:t>Daybreak also features employment in light industry like warehouses and data centres. Its “first phase includes 100,000 square feet of office space and 75,000 square feet of retail, food, and beverage businesses, [and] 900 residential units”</w:t>
      </w:r>
      <w:r w:rsidRPr="008452E0">
        <w:rPr>
          <w:rFonts w:cs="Arial"/>
          <w:vertAlign w:val="superscript"/>
        </w:rPr>
        <w:t xml:space="preserve"> </w:t>
      </w:r>
      <w:r w:rsidRPr="008452E0">
        <w:rPr>
          <w:rFonts w:cs="Arial"/>
          <w:vertAlign w:val="superscript"/>
        </w:rPr>
        <w:endnoteReference w:id="159"/>
      </w:r>
      <w:r w:rsidRPr="008452E0">
        <w:rPr>
          <w:rFonts w:cs="Arial"/>
        </w:rPr>
        <w:t>. This is an important feature of development in the US where sales taxes are a key source of revenue for local government.</w:t>
      </w:r>
    </w:p>
    <w:p w14:paraId="74C29C20" w14:textId="77777777" w:rsidR="00BF7993" w:rsidRPr="008452E0" w:rsidRDefault="00BF7993" w:rsidP="00BF7993">
      <w:pPr>
        <w:rPr>
          <w:rFonts w:cs="Arial"/>
        </w:rPr>
      </w:pPr>
      <w:r w:rsidRPr="008452E0">
        <w:rPr>
          <w:rFonts w:cs="Arial"/>
        </w:rPr>
        <w:t>However, it is important to reiterate that there is no affordable housing requirement in Daybreak; the entirety of the development is open market housing that, on average, trades for approximately a 10 percent premium to dwellings outside Daybreak.</w:t>
      </w:r>
    </w:p>
    <w:p w14:paraId="68EC774D" w14:textId="77777777" w:rsidR="00BF7993" w:rsidRPr="008452E0" w:rsidRDefault="00BF7993" w:rsidP="00BF7993">
      <w:pPr>
        <w:rPr>
          <w:rFonts w:cs="Arial"/>
        </w:rPr>
      </w:pPr>
      <w:r w:rsidRPr="008452E0">
        <w:rPr>
          <w:rFonts w:cs="Arial"/>
        </w:rPr>
        <w:t>The implications are clear: the return on investment from development on the scale of Daybreak can be materialised in multiple ways that interact with each other. Requiring a proportion of a development to be made available on an affordable tenure may have crowded out the provision of other public goods. This may have constrained public transport infrastructure and ‘downtown’ type amenities.</w:t>
      </w:r>
    </w:p>
    <w:p w14:paraId="52A9B298" w14:textId="77777777" w:rsidR="00BF7993" w:rsidRPr="008452E0" w:rsidRDefault="00BF7993" w:rsidP="00BF7993">
      <w:pPr>
        <w:rPr>
          <w:rFonts w:cs="Arial"/>
        </w:rPr>
      </w:pPr>
      <w:r w:rsidRPr="008452E0">
        <w:rPr>
          <w:rFonts w:cs="Arial"/>
        </w:rPr>
        <w:t>Furthermore, in the case of Daybreak 100 percent market housing may well relate to strong local, cultural preferences for home ownership and a broader development context that privileges investment in the natural environment, schooling and sustainable transport.  In different contexts where affordable housing is a greater political priority it is possible that it may be more difficult to secure community benefits of the kind that typify the Daybreak experience.</w:t>
      </w:r>
    </w:p>
    <w:p w14:paraId="53354117" w14:textId="77777777" w:rsidR="00BF7993" w:rsidRPr="008452E0" w:rsidRDefault="00BF7993" w:rsidP="00BF7993">
      <w:pPr>
        <w:pStyle w:val="Heading3"/>
      </w:pPr>
      <w:r w:rsidRPr="008452E0">
        <w:t>Lesson 2: Who pays for ‘brownfield first’?</w:t>
      </w:r>
    </w:p>
    <w:p w14:paraId="3D0F0152" w14:textId="77777777" w:rsidR="00BF7993" w:rsidRPr="008452E0" w:rsidRDefault="00BF7993" w:rsidP="00BF7993">
      <w:pPr>
        <w:rPr>
          <w:rFonts w:cs="Arial"/>
        </w:rPr>
      </w:pPr>
      <w:r w:rsidRPr="008452E0">
        <w:rPr>
          <w:rFonts w:cs="Arial"/>
        </w:rPr>
        <w:t xml:space="preserve">Daybreak’s proximity to the Bingham Canyon mine makes it a very strong exemplar of the ‘brownfield first’ principle.  Whilst no specific figure is available for the costs of land remediation, the Urban Land Institute case study of Daybreak puts the estimate in the “tens of millions of dollars”.  In this sense Daybreak is a great example of an environment that is proximate to a hugely significant industrial land use but which, as </w:t>
      </w:r>
      <w:r w:rsidRPr="008452E0">
        <w:rPr>
          <w:rFonts w:cs="Arial"/>
        </w:rPr>
        <w:lastRenderedPageBreak/>
        <w:t xml:space="preserve">a result of significant investment, has been transformed into a desirable residential development.   </w:t>
      </w:r>
    </w:p>
    <w:p w14:paraId="03B28B32" w14:textId="77777777" w:rsidR="00BF7993" w:rsidRPr="008452E0" w:rsidRDefault="00BF7993" w:rsidP="00BF7993">
      <w:pPr>
        <w:rPr>
          <w:rFonts w:cs="Arial"/>
        </w:rPr>
      </w:pPr>
      <w:r w:rsidRPr="008452E0">
        <w:rPr>
          <w:rFonts w:cs="Arial"/>
        </w:rPr>
        <w:t>Many economies have similar situations where industrial activities have bequeathed ‘brownfield’ settings. These are areas which may not be readily available for residential development until a programme of environmental remediation has first taken place. In the case of Daybreak, Rio Tinto provided the initial investment necessary for Daybreak’s delivery.</w:t>
      </w:r>
    </w:p>
    <w:p w14:paraId="7392BFEC" w14:textId="77777777" w:rsidR="00BF7993" w:rsidRPr="008452E0" w:rsidRDefault="00BF7993" w:rsidP="00BF7993">
      <w:pPr>
        <w:rPr>
          <w:rFonts w:cs="Arial"/>
        </w:rPr>
      </w:pPr>
      <w:r w:rsidRPr="008452E0">
        <w:rPr>
          <w:rFonts w:cs="Arial"/>
        </w:rPr>
        <w:t>Policy makers will need to consider the issue that achieving a similar outcome in different contexts globally would require either similar circumstances such as those that motivated Rio Tinto or to find an alternative investor such as the state. This would be needed to make the considerable initial investment necessary for brownfield land to become an attractive option for the development industry to build out a new town.</w:t>
      </w:r>
    </w:p>
    <w:p w14:paraId="5FD9BADE" w14:textId="77777777" w:rsidR="00BF7993" w:rsidRPr="008452E0" w:rsidRDefault="00BF7993" w:rsidP="00BF7993">
      <w:pPr>
        <w:pStyle w:val="Heading3"/>
      </w:pPr>
      <w:r w:rsidRPr="008452E0">
        <w:t xml:space="preserve">Lesson 3: Using high quality </w:t>
      </w:r>
      <w:proofErr w:type="spellStart"/>
      <w:r w:rsidRPr="008452E0">
        <w:t>masterplanning</w:t>
      </w:r>
      <w:proofErr w:type="spellEnd"/>
      <w:r w:rsidRPr="008452E0">
        <w:t xml:space="preserve"> to deliver exemplary development that avoids sprawl</w:t>
      </w:r>
    </w:p>
    <w:p w14:paraId="3EE2B37C" w14:textId="77777777" w:rsidR="00BF7993" w:rsidRPr="008452E0" w:rsidRDefault="00BF7993" w:rsidP="00BF7993">
      <w:pPr>
        <w:rPr>
          <w:rFonts w:cs="Arial"/>
        </w:rPr>
      </w:pPr>
      <w:r w:rsidRPr="008452E0">
        <w:rPr>
          <w:rFonts w:cs="Arial"/>
        </w:rPr>
        <w:t xml:space="preserve">Daybreak is unusual in the western American urban development context because it has avoided car dependent urban sprawl. Instead, it has produced a sustainable, highly attractive and well-connected place to live and work. This is largely based on its use of New Urbanist placemaking principles through Peter Calthorpe’s masterplan and its high level of engagement with local community through Envision Utah. </w:t>
      </w:r>
    </w:p>
    <w:p w14:paraId="1A0C77E9" w14:textId="77777777" w:rsidR="00BF7993" w:rsidRPr="008452E0" w:rsidRDefault="00BF7993" w:rsidP="00BF7993">
      <w:pPr>
        <w:rPr>
          <w:rFonts w:cs="Arial"/>
        </w:rPr>
      </w:pPr>
      <w:r w:rsidRPr="008452E0">
        <w:rPr>
          <w:rFonts w:cs="Arial"/>
        </w:rPr>
        <w:t>Policy makers internationally should consider if these placemaking approaches could be used in their development setting to help produce a resilient new town that is well adapted to climate and biodiversity issues.</w:t>
      </w:r>
    </w:p>
    <w:p w14:paraId="2EF75EFA" w14:textId="12F67F94" w:rsidR="00241826" w:rsidRPr="005D7EEC" w:rsidRDefault="00241826">
      <w:pPr>
        <w:rPr>
          <w:rFonts w:cs="Arial"/>
        </w:rPr>
      </w:pPr>
      <w:r w:rsidRPr="005D7EEC">
        <w:rPr>
          <w:rFonts w:cs="Arial"/>
        </w:rPr>
        <w:br w:type="page"/>
      </w:r>
    </w:p>
    <w:p w14:paraId="15B253D1" w14:textId="2CF06DBF" w:rsidR="00241826" w:rsidRPr="005D7EEC" w:rsidRDefault="00057D7F" w:rsidP="00CE5506">
      <w:pPr>
        <w:pStyle w:val="Heading2"/>
        <w:rPr>
          <w:rFonts w:cs="Arial"/>
        </w:rPr>
        <w:sectPr w:rsidR="00241826" w:rsidRPr="005D7EEC" w:rsidSect="007821EB">
          <w:endnotePr>
            <w:numFmt w:val="decimal"/>
          </w:endnotePr>
          <w:pgSz w:w="11906" w:h="16838"/>
          <w:pgMar w:top="1440" w:right="1440" w:bottom="1440" w:left="1440" w:header="708" w:footer="741" w:gutter="0"/>
          <w:cols w:space="708"/>
          <w:docGrid w:linePitch="360"/>
        </w:sectPr>
      </w:pPr>
      <w:r w:rsidRPr="005D7EEC">
        <w:rPr>
          <w:rFonts w:cs="Arial"/>
        </w:rPr>
        <w:lastRenderedPageBreak/>
        <w:t>6.</w:t>
      </w:r>
      <w:r w:rsidR="00BF7993">
        <w:rPr>
          <w:rFonts w:cs="Arial"/>
        </w:rPr>
        <w:t>8</w:t>
      </w:r>
      <w:r w:rsidRPr="005D7EEC">
        <w:rPr>
          <w:rFonts w:cs="Arial"/>
        </w:rPr>
        <w:t xml:space="preserve"> </w:t>
      </w:r>
      <w:r w:rsidR="00241826" w:rsidRPr="005D7EEC">
        <w:rPr>
          <w:rFonts w:cs="Arial"/>
        </w:rPr>
        <w:t>References</w:t>
      </w:r>
    </w:p>
    <w:p w14:paraId="1FC85886" w14:textId="76C31335" w:rsidR="00870BE8" w:rsidRPr="005D7EEC" w:rsidRDefault="00057D7F" w:rsidP="0036491E">
      <w:pPr>
        <w:pStyle w:val="Heading1"/>
        <w:rPr>
          <w:rFonts w:cs="Arial"/>
        </w:rPr>
      </w:pPr>
      <w:bookmarkStart w:id="33" w:name="_Toc216946594"/>
      <w:bookmarkStart w:id="34" w:name="_Toc221626822"/>
      <w:r w:rsidRPr="005D7EEC">
        <w:rPr>
          <w:rFonts w:cs="Arial"/>
        </w:rPr>
        <w:lastRenderedPageBreak/>
        <w:t xml:space="preserve">7. </w:t>
      </w:r>
      <w:r w:rsidR="00870BE8" w:rsidRPr="005D7EEC">
        <w:rPr>
          <w:rFonts w:cs="Arial"/>
        </w:rPr>
        <w:t>C</w:t>
      </w:r>
      <w:r w:rsidR="001308B1">
        <w:rPr>
          <w:rFonts w:cs="Arial"/>
        </w:rPr>
        <w:t>ase study: C</w:t>
      </w:r>
      <w:r w:rsidR="00870BE8" w:rsidRPr="005D7EEC">
        <w:rPr>
          <w:rFonts w:cs="Arial"/>
        </w:rPr>
        <w:t>uritiba</w:t>
      </w:r>
      <w:bookmarkEnd w:id="33"/>
      <w:bookmarkEnd w:id="34"/>
    </w:p>
    <w:p w14:paraId="63F8D522" w14:textId="77777777" w:rsidR="00870BE8" w:rsidRPr="005D7EEC" w:rsidRDefault="00870BE8" w:rsidP="00870BE8">
      <w:pPr>
        <w:rPr>
          <w:rFonts w:cs="Arial"/>
        </w:rPr>
      </w:pPr>
      <w:r w:rsidRPr="005D7EEC">
        <w:rPr>
          <w:rFonts w:cs="Arial"/>
        </w:rPr>
        <w:t>Urban planning as continuous adaptation</w:t>
      </w:r>
    </w:p>
    <w:p w14:paraId="5C156BFE" w14:textId="7F2FE566" w:rsidR="00870BE8" w:rsidRPr="005D7EEC" w:rsidRDefault="00313763" w:rsidP="00CE5506">
      <w:pPr>
        <w:pStyle w:val="Heading2"/>
        <w:rPr>
          <w:rFonts w:cs="Arial"/>
        </w:rPr>
      </w:pPr>
      <w:r w:rsidRPr="005D7EEC">
        <w:rPr>
          <w:rFonts w:cs="Arial"/>
        </w:rPr>
        <w:t xml:space="preserve">7.1 </w:t>
      </w:r>
      <w:r w:rsidR="00870BE8" w:rsidRPr="005D7EEC">
        <w:rPr>
          <w:rFonts w:cs="Arial"/>
        </w:rPr>
        <w:t>Headlines</w:t>
      </w:r>
    </w:p>
    <w:p w14:paraId="3CDCC5AB" w14:textId="77777777" w:rsidR="00870BE8" w:rsidRPr="005D7EEC" w:rsidRDefault="00870BE8" w:rsidP="00870BE8">
      <w:pPr>
        <w:rPr>
          <w:rFonts w:eastAsia="Aptos" w:cs="Arial"/>
        </w:rPr>
      </w:pPr>
      <w:r w:rsidRPr="005D7EEC">
        <w:rPr>
          <w:rStyle w:val="Heading3Char"/>
          <w:rFonts w:cs="Arial"/>
        </w:rPr>
        <w:t>Location</w:t>
      </w:r>
    </w:p>
    <w:p w14:paraId="7C97F527" w14:textId="77777777" w:rsidR="00870BE8" w:rsidRPr="005D7EEC" w:rsidRDefault="00870BE8" w:rsidP="00870BE8">
      <w:pPr>
        <w:rPr>
          <w:rFonts w:eastAsia="Aptos" w:cs="Arial"/>
        </w:rPr>
      </w:pPr>
      <w:r w:rsidRPr="005D7EEC">
        <w:rPr>
          <w:rFonts w:eastAsia="Aptos" w:cs="Arial"/>
        </w:rPr>
        <w:t>Curitiba, Brazil, South America</w:t>
      </w:r>
    </w:p>
    <w:p w14:paraId="6CA4D6AC" w14:textId="77777777" w:rsidR="00870BE8" w:rsidRPr="005D7EEC" w:rsidRDefault="00870BE8" w:rsidP="00870BE8">
      <w:pPr>
        <w:rPr>
          <w:rFonts w:eastAsia="Aptos" w:cs="Arial"/>
        </w:rPr>
      </w:pPr>
      <w:r w:rsidRPr="005D7EEC">
        <w:rPr>
          <w:rStyle w:val="Heading3Char"/>
          <w:rFonts w:cs="Arial"/>
        </w:rPr>
        <w:t>Key dates</w:t>
      </w:r>
    </w:p>
    <w:p w14:paraId="0ACC67EB" w14:textId="77777777" w:rsidR="00870BE8" w:rsidRPr="005D7EEC" w:rsidRDefault="00870BE8" w:rsidP="00870BE8">
      <w:pPr>
        <w:rPr>
          <w:rFonts w:eastAsia="Aptos" w:cs="Arial"/>
        </w:rPr>
      </w:pPr>
      <w:r w:rsidRPr="005D7EEC">
        <w:rPr>
          <w:rFonts w:eastAsia="Aptos" w:cs="Arial"/>
        </w:rPr>
        <w:t>1965-present</w:t>
      </w:r>
    </w:p>
    <w:p w14:paraId="5EBB5758" w14:textId="77777777" w:rsidR="00870BE8" w:rsidRPr="005D7EEC" w:rsidRDefault="00870BE8" w:rsidP="00870BE8">
      <w:pPr>
        <w:rPr>
          <w:rFonts w:eastAsia="Aptos" w:cs="Arial"/>
        </w:rPr>
      </w:pPr>
      <w:r w:rsidRPr="005D7EEC">
        <w:rPr>
          <w:rStyle w:val="Heading3Char"/>
          <w:rFonts w:cs="Arial"/>
        </w:rPr>
        <w:t>Key features</w:t>
      </w:r>
    </w:p>
    <w:p w14:paraId="5412B4EB" w14:textId="77777777" w:rsidR="00870BE8" w:rsidRPr="005D7EEC" w:rsidRDefault="00870BE8" w:rsidP="00870BE8">
      <w:pPr>
        <w:rPr>
          <w:rFonts w:eastAsia="Aptos" w:cs="Arial"/>
        </w:rPr>
      </w:pPr>
      <w:r w:rsidRPr="005D7EEC">
        <w:rPr>
          <w:rFonts w:eastAsia="Aptos" w:cs="Arial"/>
        </w:rPr>
        <w:t>Long-term flexible planning framework for urban expansion with an approach to governance and urban form that is adaptable to changing context.</w:t>
      </w:r>
    </w:p>
    <w:p w14:paraId="6CB36F10" w14:textId="77777777" w:rsidR="00870BE8" w:rsidRPr="005D7EEC" w:rsidRDefault="00870BE8" w:rsidP="00870BE8">
      <w:pPr>
        <w:pStyle w:val="Heading3"/>
        <w:rPr>
          <w:rFonts w:ascii="Arial" w:eastAsia="Aptos" w:hAnsi="Arial" w:cs="Arial"/>
        </w:rPr>
      </w:pPr>
      <w:r w:rsidRPr="005D7EEC">
        <w:rPr>
          <w:rFonts w:ascii="Arial" w:eastAsia="Aptos" w:hAnsi="Arial" w:cs="Arial"/>
        </w:rPr>
        <w:t>Key lessons</w:t>
      </w:r>
    </w:p>
    <w:p w14:paraId="3AB8B4E5" w14:textId="77777777" w:rsidR="00870BE8" w:rsidRPr="005D7EEC" w:rsidRDefault="00870BE8" w:rsidP="00870BE8">
      <w:pPr>
        <w:pStyle w:val="ListParagraph"/>
        <w:numPr>
          <w:ilvl w:val="0"/>
          <w:numId w:val="5"/>
        </w:numPr>
        <w:rPr>
          <w:rFonts w:eastAsia="Aptos" w:cs="Arial"/>
        </w:rPr>
      </w:pPr>
      <w:r w:rsidRPr="005D7EEC">
        <w:rPr>
          <w:rFonts w:eastAsia="Aptos" w:cs="Arial"/>
        </w:rPr>
        <w:t>Curitiba shows that urban planning is about both the implementation of a plan and ongoing strategic and problem-solving functions. Successful planning structures allow for both elements, as in Curitiba where there is a strong relationship between mayor and urban planning and transport authorities. Curitiba demonstrates flexibility and adaptation to the inevitable contextual changes in which towns and cities grow. This includes its adaptability on aspects such as water management, waste management and urban agriculture, public transport accessibility, pedestrian zones, energy use, and the development of parks and other green infrastructure.</w:t>
      </w:r>
    </w:p>
    <w:p w14:paraId="5B00873D" w14:textId="77777777" w:rsidR="00870BE8" w:rsidRPr="005D7EEC" w:rsidRDefault="00870BE8" w:rsidP="00870BE8">
      <w:pPr>
        <w:pStyle w:val="ListParagraph"/>
        <w:numPr>
          <w:ilvl w:val="0"/>
          <w:numId w:val="5"/>
        </w:numPr>
        <w:rPr>
          <w:rFonts w:eastAsia="Aptos" w:cs="Arial"/>
        </w:rPr>
      </w:pPr>
      <w:r w:rsidRPr="005D7EEC">
        <w:rPr>
          <w:rFonts w:eastAsia="Aptos" w:cs="Arial"/>
        </w:rPr>
        <w:t>Urban planning managers need to contribute to urban governance beyond making decisions solely about land-use change. Curitiba shows that the benefits of planning are best realised where its coordination and problem-</w:t>
      </w:r>
      <w:r w:rsidRPr="005D7EEC">
        <w:rPr>
          <w:rFonts w:eastAsia="Aptos" w:cs="Arial"/>
        </w:rPr>
        <w:lastRenderedPageBreak/>
        <w:t>solving aspects are closely tied to how it governs broader place aspects such as those above.</w:t>
      </w:r>
    </w:p>
    <w:p w14:paraId="3E510507" w14:textId="77777777" w:rsidR="00870BE8" w:rsidRPr="005D7EEC" w:rsidRDefault="00870BE8" w:rsidP="00870BE8">
      <w:pPr>
        <w:pStyle w:val="ListParagraph"/>
        <w:numPr>
          <w:ilvl w:val="0"/>
          <w:numId w:val="5"/>
        </w:numPr>
        <w:rPr>
          <w:rFonts w:eastAsia="Aptos" w:cs="Arial"/>
        </w:rPr>
      </w:pPr>
      <w:r w:rsidRPr="005D7EEC">
        <w:rPr>
          <w:rFonts w:eastAsia="Aptos" w:cs="Arial"/>
        </w:rPr>
        <w:t>Problems and issues that appear to be about one issue only are often related to a broader urban context that also needs attention. Issues such as flooding or lack of open space may respond to solutions that tie them together. In Curitiba examples are the creation of new parks in Curitiba that also integrated ponds to contain floodwater, and where waste management and urban agriculture are connected as discussed below.</w:t>
      </w:r>
    </w:p>
    <w:p w14:paraId="453ABD87" w14:textId="77777777" w:rsidR="00870BE8" w:rsidRPr="005D7EEC" w:rsidRDefault="00870BE8" w:rsidP="00870BE8">
      <w:pPr>
        <w:pStyle w:val="Heading3"/>
        <w:rPr>
          <w:rFonts w:ascii="Arial" w:eastAsia="Aptos" w:hAnsi="Arial" w:cs="Arial"/>
        </w:rPr>
      </w:pPr>
      <w:r w:rsidRPr="005D7EEC">
        <w:rPr>
          <w:rFonts w:ascii="Arial" w:eastAsia="Aptos" w:hAnsi="Arial" w:cs="Arial"/>
        </w:rPr>
        <w:t>Key recommendations</w:t>
      </w:r>
    </w:p>
    <w:p w14:paraId="7985B1AA" w14:textId="77777777" w:rsidR="00870BE8" w:rsidRPr="005D7EEC" w:rsidRDefault="00870BE8" w:rsidP="00870BE8">
      <w:pPr>
        <w:pStyle w:val="ListParagraph"/>
        <w:numPr>
          <w:ilvl w:val="0"/>
          <w:numId w:val="4"/>
        </w:numPr>
        <w:rPr>
          <w:rFonts w:eastAsia="Aptos" w:cs="Arial"/>
        </w:rPr>
      </w:pPr>
      <w:r w:rsidRPr="005D7EEC">
        <w:rPr>
          <w:rFonts w:eastAsia="Aptos" w:cs="Arial"/>
        </w:rPr>
        <w:t>Orientate new towns around public transport nodes and corridors. Map urban densities around these corridors to make sure that there is a sufficient number of people to use transport services. This will help ensure traffic congestion that would follow from disconnected car-dependent settlements is avoided.</w:t>
      </w:r>
    </w:p>
    <w:p w14:paraId="18FDCDDB" w14:textId="77777777" w:rsidR="00870BE8" w:rsidRPr="005D7EEC" w:rsidRDefault="00870BE8" w:rsidP="00870BE8">
      <w:pPr>
        <w:pStyle w:val="ListParagraph"/>
        <w:numPr>
          <w:ilvl w:val="0"/>
          <w:numId w:val="4"/>
        </w:numPr>
        <w:rPr>
          <w:rFonts w:eastAsia="Aptos" w:cs="Arial"/>
        </w:rPr>
      </w:pPr>
      <w:r w:rsidRPr="005D7EEC">
        <w:rPr>
          <w:rFonts w:eastAsia="Aptos" w:cs="Arial"/>
        </w:rPr>
        <w:t>Planners should</w:t>
      </w:r>
      <w:r w:rsidRPr="005D7EEC" w:rsidDel="00722314">
        <w:rPr>
          <w:rFonts w:eastAsia="Aptos" w:cs="Arial"/>
        </w:rPr>
        <w:t xml:space="preserve"> </w:t>
      </w:r>
      <w:r w:rsidRPr="005D7EEC">
        <w:rPr>
          <w:rFonts w:eastAsia="Aptos" w:cs="Arial"/>
        </w:rPr>
        <w:t>pay attention to the aspects of planning that go beyond the implementation of the plan. This can be done by establishing an urban planning agency to take an overview of a new town’s development. Unforeseen issues inevitably arise as a new settlement develops. These unforeseen issues need the capacity to solve problems and formulate new ideas from a strong urban planning and management agency.</w:t>
      </w:r>
    </w:p>
    <w:p w14:paraId="5BCF1137" w14:textId="77777777" w:rsidR="00870BE8" w:rsidRPr="005D7EEC" w:rsidRDefault="00870BE8" w:rsidP="00870BE8">
      <w:pPr>
        <w:pStyle w:val="ListParagraph"/>
        <w:numPr>
          <w:ilvl w:val="0"/>
          <w:numId w:val="4"/>
        </w:numPr>
        <w:rPr>
          <w:rFonts w:eastAsia="Aptos" w:cs="Arial"/>
        </w:rPr>
      </w:pPr>
      <w:r w:rsidRPr="005D7EEC">
        <w:rPr>
          <w:rFonts w:eastAsia="Aptos" w:cs="Arial"/>
        </w:rPr>
        <w:t xml:space="preserve">Ensure that future development continues to fit within a shared vision of the new town. This should be established at the outset, acknowledging that this vision and its practical planning proposals for development must be adaptable to changing conditions. This can militate against the tendency for planning of new towns to be reactive, responding rather than adapting to challenges. Curitiba has used a combination of strong mayoral leadership and urban planning and transport agencies with substantial powers to do this job. </w:t>
      </w:r>
    </w:p>
    <w:p w14:paraId="31D44FD6" w14:textId="38767E66" w:rsidR="00870BE8" w:rsidRPr="005D7EEC" w:rsidRDefault="00870BE8" w:rsidP="00870BE8">
      <w:pPr>
        <w:rPr>
          <w:rFonts w:cs="Arial"/>
        </w:rPr>
      </w:pPr>
      <w:r w:rsidRPr="005D7EEC">
        <w:rPr>
          <w:rFonts w:eastAsia="Aptos" w:cs="Arial"/>
        </w:rPr>
        <w:lastRenderedPageBreak/>
        <w:t xml:space="preserve">  </w:t>
      </w:r>
      <w:r w:rsidR="00653ED0" w:rsidRPr="005D7EEC">
        <w:rPr>
          <w:rFonts w:cs="Arial"/>
          <w:noProof/>
        </w:rPr>
        <w:drawing>
          <wp:inline distT="0" distB="0" distL="0" distR="0" wp14:anchorId="34C662DC" wp14:editId="22BDD880">
            <wp:extent cx="5731510" cy="3819525"/>
            <wp:effectExtent l="0" t="0" r="2540" b="9525"/>
            <wp:docPr id="71096235" name="Picture 6" descr="Aerial view of Curitiba including tall and medium height buildings around a wide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6235" name="Picture 6" descr="Aerial view of Curitiba including tall and medium height buildings around a wide boulevar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31510" cy="3819525"/>
                    </a:xfrm>
                    <a:prstGeom prst="rect">
                      <a:avLst/>
                    </a:prstGeom>
                    <a:noFill/>
                    <a:ln>
                      <a:noFill/>
                    </a:ln>
                  </pic:spPr>
                </pic:pic>
              </a:graphicData>
            </a:graphic>
          </wp:inline>
        </w:drawing>
      </w:r>
      <w:r w:rsidRPr="005D7EEC">
        <w:rPr>
          <w:rFonts w:cs="Arial"/>
        </w:rPr>
        <w:fldChar w:fldCharType="begin"/>
      </w:r>
      <w:r w:rsidRPr="005D7EEC">
        <w:rPr>
          <w:rFonts w:cs="Arial"/>
        </w:rPr>
        <w:instrText xml:space="preserve"> INCLUDEPICTURE "https://storage.needpix.com/rsynced_images/curitiba-2778942_1280.jpg" \* MERGEFORMATINET </w:instrText>
      </w:r>
      <w:r w:rsidRPr="005D7EEC">
        <w:rPr>
          <w:rFonts w:cs="Arial"/>
        </w:rPr>
        <w:fldChar w:fldCharType="separate"/>
      </w:r>
      <w:r w:rsidRPr="005D7EEC">
        <w:rPr>
          <w:rFonts w:cs="Arial"/>
        </w:rPr>
        <w:fldChar w:fldCharType="end"/>
      </w:r>
    </w:p>
    <w:p w14:paraId="39078AF3" w14:textId="4924749E" w:rsidR="00870BE8" w:rsidRPr="005D7EEC" w:rsidRDefault="00870BE8" w:rsidP="00870BE8">
      <w:pPr>
        <w:rPr>
          <w:rFonts w:cs="Arial"/>
        </w:rPr>
      </w:pPr>
      <w:r w:rsidRPr="005D7EEC">
        <w:rPr>
          <w:rFonts w:cs="Arial"/>
          <w:i/>
          <w:iCs/>
        </w:rPr>
        <w:t xml:space="preserve">Figure 6.1: </w:t>
      </w:r>
      <w:r w:rsidR="0093439D" w:rsidRPr="005D7EEC">
        <w:rPr>
          <w:rFonts w:cs="Arial"/>
          <w:i/>
          <w:iCs/>
        </w:rPr>
        <w:t>Central region of Curitiba. Roberto Dziura Jr via Getty Images.</w:t>
      </w:r>
    </w:p>
    <w:p w14:paraId="1AFEB183" w14:textId="00C78380" w:rsidR="00870BE8" w:rsidRPr="005D7EEC" w:rsidRDefault="00313763" w:rsidP="00CE5506">
      <w:pPr>
        <w:pStyle w:val="Heading2"/>
        <w:rPr>
          <w:rFonts w:cs="Arial"/>
        </w:rPr>
      </w:pPr>
      <w:r w:rsidRPr="005D7EEC">
        <w:rPr>
          <w:rFonts w:cs="Arial"/>
        </w:rPr>
        <w:t xml:space="preserve">7.2 </w:t>
      </w:r>
      <w:r w:rsidR="00870BE8" w:rsidRPr="005D7EEC">
        <w:rPr>
          <w:rFonts w:cs="Arial"/>
        </w:rPr>
        <w:t>Overview</w:t>
      </w:r>
    </w:p>
    <w:p w14:paraId="37ECA776"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A rapidly expanding city, whose metropolitan region population has now reached 3,700,000 from fewer than 200,000 in the 1950s, Curitiba is known to planners worldwide for its Bus Rapid Transit (BRT) network and sustainability credentials. The city also deserves particular renown, however, for its growth management in the face of intense urbanisation pressures. While Curitiba is not a new town </w:t>
      </w:r>
      <w:r w:rsidRPr="005D7EEC">
        <w:rPr>
          <w:rFonts w:eastAsiaTheme="minorEastAsia" w:cs="Arial"/>
          <w:i/>
          <w:iCs/>
          <w:lang w:eastAsia="zh-CN"/>
        </w:rPr>
        <w:t>per se</w:t>
      </w:r>
      <w:r w:rsidRPr="005D7EEC">
        <w:rPr>
          <w:rFonts w:eastAsiaTheme="minorEastAsia" w:cs="Arial"/>
          <w:lang w:eastAsia="zh-CN"/>
        </w:rPr>
        <w:t>, it shares a range of new town management issues and characteristics worth exploring.</w:t>
      </w:r>
    </w:p>
    <w:p w14:paraId="0CE12E8A"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Lessons from Curitiba’s experience are keenly sought as cities wrestle with the challenges of managing urban growth. Moreover, the strategies taken in Curitiba are relevant not only to cities in a similar phase of growth, as are found elsewhere in the Global South, but also to Global North cities facing different challenges relating to urban complexity and change.</w:t>
      </w:r>
    </w:p>
    <w:p w14:paraId="35C3215A"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lastRenderedPageBreak/>
        <w:t>Curitiba is the largest city and capital of the Southern Brazilian state of Paraná, around 120km from the coast to its east and 400km from São Paolo to its north. The city’s origins are in the 19</w:t>
      </w:r>
      <w:r w:rsidRPr="005D7EEC">
        <w:rPr>
          <w:rFonts w:eastAsiaTheme="minorEastAsia" w:cs="Arial"/>
          <w:vertAlign w:val="superscript"/>
          <w:lang w:eastAsia="zh-CN"/>
        </w:rPr>
        <w:t>th</w:t>
      </w:r>
      <w:r w:rsidRPr="005D7EEC">
        <w:rPr>
          <w:rFonts w:eastAsiaTheme="minorEastAsia" w:cs="Arial"/>
          <w:lang w:eastAsia="zh-CN"/>
        </w:rPr>
        <w:t xml:space="preserve"> century cattle ranching and agriculture that dominate southern Brazil. But present day Curitiba’s story began in the 1960s, when population growth and the expansion of car ownership led to a search for a new plan to guide the city’s development.  What emerged was not as straightforward as the city-wide growth plan sought. Instead, Curitiba undertook a wholesale reimagining of urban management. This allied a physical plan to contain and direct urbanisation with multiple cross-sectoral interventions in green space provision, active transport, water and waste.</w:t>
      </w:r>
    </w:p>
    <w:p w14:paraId="19E33C89" w14:textId="639EB9B3" w:rsidR="00870BE8" w:rsidRPr="005D7EEC" w:rsidRDefault="00313763" w:rsidP="00CE5506">
      <w:pPr>
        <w:pStyle w:val="Heading2"/>
        <w:rPr>
          <w:rFonts w:eastAsiaTheme="minorEastAsia" w:cs="Arial"/>
          <w:lang w:eastAsia="zh-CN"/>
        </w:rPr>
      </w:pPr>
      <w:r w:rsidRPr="005D7EEC">
        <w:rPr>
          <w:rFonts w:cs="Arial"/>
        </w:rPr>
        <w:t xml:space="preserve">7.3 </w:t>
      </w:r>
      <w:r w:rsidR="00870BE8" w:rsidRPr="005D7EEC">
        <w:rPr>
          <w:rFonts w:cs="Arial"/>
        </w:rPr>
        <w:t>Planning frameworks</w:t>
      </w:r>
    </w:p>
    <w:p w14:paraId="3D960825"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The Brazilian planning system uses masterplans prepared at the municipal level to determine the pattern and characteristics of future growth, as well as to respond to economic and social challenges. Over time, the nature of masterplans has changed, with those of the 1960s and 1970s now seen as technocratic and rigid. Masterplans written in more recent decades are more openly political and representative of social and environmental interests</w:t>
      </w:r>
      <w:r w:rsidRPr="005D7EEC">
        <w:rPr>
          <w:rStyle w:val="EndnoteReference"/>
          <w:rFonts w:eastAsiaTheme="minorEastAsia" w:cs="Arial"/>
          <w:lang w:eastAsia="zh-CN"/>
        </w:rPr>
        <w:endnoteReference w:id="160"/>
      </w:r>
      <w:r w:rsidRPr="005D7EEC">
        <w:rPr>
          <w:rFonts w:eastAsiaTheme="minorEastAsia" w:cs="Arial"/>
          <w:lang w:eastAsia="zh-CN"/>
        </w:rPr>
        <w:t>.</w:t>
      </w:r>
    </w:p>
    <w:p w14:paraId="3FC34C02"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Curitiba’s ‘year zero’, at which point its present planning trajectory was established, is 1965. This was when a new masterplan for the city, commissioned to respond to the rapid population growth that had come with industrialisation, was put in place. The so-called ‘Wilheim Plan’, named for its lead author Jorge Wilheim, established the BRT corridors that Curitiba is now most famous for, alongside other initiatives to reshape and grow the city. Since that point, successive masterplans have continued to guide the city’s continued growth. These have done so by incorporating, most prominently, an increasing focus on ecological restoration of the city alongside urban development.</w:t>
      </w:r>
    </w:p>
    <w:p w14:paraId="54455A43" w14:textId="63A83A66" w:rsidR="00870BE8" w:rsidRPr="005D7EEC" w:rsidRDefault="00E00F60" w:rsidP="00870BE8">
      <w:pPr>
        <w:rPr>
          <w:rFonts w:cs="Arial"/>
        </w:rPr>
      </w:pPr>
      <w:r w:rsidRPr="005D7EEC">
        <w:rPr>
          <w:rFonts w:cs="Arial"/>
          <w:noProof/>
        </w:rPr>
        <w:lastRenderedPageBreak/>
        <w:drawing>
          <wp:inline distT="0" distB="0" distL="0" distR="0" wp14:anchorId="55C1F47E" wp14:editId="514016F7">
            <wp:extent cx="5731510" cy="3820795"/>
            <wp:effectExtent l="0" t="0" r="2540" b="8255"/>
            <wp:docPr id="936290439" name="Picture 7" descr="Glass, tube shaped bus stop with gaps aligning to bus doors, tree-lined avenue is visibl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90439" name="Picture 7" descr="Glass, tube shaped bus stop with gaps aligning to bus doors, tree-lined avenue is visible outsid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31510" cy="3820795"/>
                    </a:xfrm>
                    <a:prstGeom prst="rect">
                      <a:avLst/>
                    </a:prstGeom>
                    <a:noFill/>
                    <a:ln>
                      <a:noFill/>
                    </a:ln>
                  </pic:spPr>
                </pic:pic>
              </a:graphicData>
            </a:graphic>
          </wp:inline>
        </w:drawing>
      </w:r>
      <w:r w:rsidR="00870BE8" w:rsidRPr="005D7EEC">
        <w:rPr>
          <w:rFonts w:cs="Arial"/>
        </w:rPr>
        <w:fldChar w:fldCharType="begin"/>
      </w:r>
      <w:r w:rsidR="00870BE8" w:rsidRPr="005D7EEC">
        <w:rPr>
          <w:rFonts w:cs="Arial"/>
        </w:rPr>
        <w:instrText xml:space="preserve"> INCLUDEPICTURE "https://upload.wikimedia.org/wikipedia/commons/thumb/0/06/Bus_Stops_2_curitiba_brasil.jpg/1920px-Bus_Stops_2_curitiba_brasil.jpg" \* MERGEFORMATINET </w:instrText>
      </w:r>
      <w:r w:rsidR="00870BE8" w:rsidRPr="005D7EEC">
        <w:rPr>
          <w:rFonts w:cs="Arial"/>
        </w:rPr>
        <w:fldChar w:fldCharType="separate"/>
      </w:r>
      <w:r w:rsidR="00870BE8" w:rsidRPr="005D7EEC">
        <w:rPr>
          <w:rFonts w:cs="Arial"/>
        </w:rPr>
        <w:fldChar w:fldCharType="end"/>
      </w:r>
    </w:p>
    <w:p w14:paraId="5F301134" w14:textId="1E6DC04D" w:rsidR="00870BE8" w:rsidRPr="005D7EEC" w:rsidRDefault="00870BE8" w:rsidP="002F500A">
      <w:pPr>
        <w:spacing w:after="120"/>
        <w:rPr>
          <w:rFonts w:eastAsiaTheme="minorEastAsia" w:cs="Arial"/>
          <w:lang w:eastAsia="zh-CN"/>
        </w:rPr>
      </w:pPr>
      <w:r w:rsidRPr="005D7EEC">
        <w:rPr>
          <w:rFonts w:cs="Arial"/>
          <w:i/>
          <w:iCs/>
        </w:rPr>
        <w:t xml:space="preserve">Figure 6.2: </w:t>
      </w:r>
      <w:r w:rsidR="002F500A" w:rsidRPr="005D7EEC">
        <w:rPr>
          <w:rFonts w:cs="Arial"/>
          <w:i/>
          <w:iCs/>
        </w:rPr>
        <w:t xml:space="preserve">Tube bus station in Curitiba. </w:t>
      </w:r>
      <w:proofErr w:type="spellStart"/>
      <w:r w:rsidR="002F500A" w:rsidRPr="005D7EEC">
        <w:rPr>
          <w:rFonts w:cs="Arial"/>
          <w:i/>
          <w:iCs/>
        </w:rPr>
        <w:t>Capuski</w:t>
      </w:r>
      <w:proofErr w:type="spellEnd"/>
      <w:r w:rsidR="002F500A" w:rsidRPr="005D7EEC">
        <w:rPr>
          <w:rFonts w:cs="Arial"/>
          <w:i/>
          <w:iCs/>
        </w:rPr>
        <w:t xml:space="preserve"> via Getty Images.</w:t>
      </w:r>
    </w:p>
    <w:p w14:paraId="5210EF40" w14:textId="77777777" w:rsidR="00870BE8" w:rsidRPr="005D7EEC" w:rsidRDefault="00870BE8" w:rsidP="00FE1AED">
      <w:pPr>
        <w:rPr>
          <w:lang w:eastAsia="zh-CN"/>
        </w:rPr>
      </w:pPr>
      <w:r w:rsidRPr="005D7EEC">
        <w:rPr>
          <w:lang w:eastAsia="zh-CN"/>
        </w:rPr>
        <w:t>Certain aspects of planning in Brazil and Curitiba are particularly reflective of its context. Most obviously, informal development is a widespread issue. Informal settlement has, since the 1980s, been the locus of reformist policies supporting services provision and allocating property rights</w:t>
      </w:r>
      <w:r w:rsidRPr="005D7EEC">
        <w:rPr>
          <w:rStyle w:val="EndnoteReference"/>
          <w:rFonts w:eastAsiaTheme="minorEastAsia" w:cs="Arial"/>
          <w:lang w:eastAsia="zh-CN"/>
        </w:rPr>
        <w:endnoteReference w:id="161"/>
      </w:r>
      <w:r w:rsidRPr="005D7EEC">
        <w:rPr>
          <w:lang w:eastAsia="zh-CN"/>
        </w:rPr>
        <w:t>.  Brazil’s national focus on developing the potential of peripheral regions is also relevant. This is most obviously evident in its development of a new capital city – Brasília – in the under-developed interior of the country. The challenges of accommodating growth at the city-regional scale and of implementing the infrastructure necessary for urban growth are common to many contexts.</w:t>
      </w:r>
    </w:p>
    <w:p w14:paraId="6EB751A6" w14:textId="440D2154" w:rsidR="00870BE8" w:rsidRPr="005D7EEC" w:rsidRDefault="00313763" w:rsidP="00CE5506">
      <w:pPr>
        <w:pStyle w:val="Heading2"/>
        <w:rPr>
          <w:rFonts w:eastAsiaTheme="minorEastAsia" w:cs="Arial"/>
          <w:lang w:eastAsia="zh-CN"/>
        </w:rPr>
      </w:pPr>
      <w:r w:rsidRPr="005D7EEC">
        <w:rPr>
          <w:rFonts w:cs="Arial"/>
        </w:rPr>
        <w:t xml:space="preserve">7.4 </w:t>
      </w:r>
      <w:r w:rsidR="00870BE8" w:rsidRPr="005D7EEC">
        <w:rPr>
          <w:rFonts w:cs="Arial"/>
        </w:rPr>
        <w:t>Governance structures</w:t>
      </w:r>
    </w:p>
    <w:p w14:paraId="09C4409F"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The governance of urban planning in Brazil is closely tied to the country’s development trajectory through the latter half of the 20</w:t>
      </w:r>
      <w:r w:rsidRPr="005D7EEC">
        <w:rPr>
          <w:rFonts w:eastAsiaTheme="minorEastAsia" w:cs="Arial"/>
          <w:vertAlign w:val="superscript"/>
          <w:lang w:eastAsia="zh-CN"/>
        </w:rPr>
        <w:t>th</w:t>
      </w:r>
      <w:r w:rsidRPr="005D7EEC">
        <w:rPr>
          <w:rFonts w:eastAsiaTheme="minorEastAsia" w:cs="Arial"/>
          <w:lang w:eastAsia="zh-CN"/>
        </w:rPr>
        <w:t xml:space="preserve"> century as a rapidly growing resource economy. Land-use planning has by its nature a growth-mindset and focuses on the need to address social problems that come about through rapid </w:t>
      </w:r>
      <w:r w:rsidRPr="005D7EEC">
        <w:rPr>
          <w:rFonts w:eastAsiaTheme="minorEastAsia" w:cs="Arial"/>
          <w:lang w:eastAsia="zh-CN"/>
        </w:rPr>
        <w:lastRenderedPageBreak/>
        <w:t>urban expansion. National and regional plans have embodied attempts to foster growth in slower-growing regions, to varying levels of effectiveness. The Curitiba case is a successful example of this.</w:t>
      </w:r>
    </w:p>
    <w:p w14:paraId="48EFDC38" w14:textId="77777777" w:rsidR="00870BE8" w:rsidRPr="005D7EEC" w:rsidRDefault="00870BE8" w:rsidP="00FE1AED">
      <w:pPr>
        <w:rPr>
          <w:lang w:eastAsia="zh-CN"/>
        </w:rPr>
      </w:pPr>
      <w:r w:rsidRPr="005D7EEC">
        <w:rPr>
          <w:lang w:eastAsia="zh-CN"/>
        </w:rPr>
        <w:t>The accomplishments of the Wilheim Plan are not only in the plan itself but in the governance structures established for its implementation. At the 1965 plan’s outset two municipal agencies were set up. These are the URBS (the Curitiba Urbanisation Corporation) as the transport authority; and the IPPUC (Institute of Research and Urban Planning of Curitiba) as the urban planning authority responsible for the implementation of the city’s master plan</w:t>
      </w:r>
      <w:r w:rsidRPr="005D7EEC">
        <w:rPr>
          <w:rStyle w:val="EndnoteReference"/>
          <w:rFonts w:eastAsiaTheme="minorEastAsia" w:cs="Arial"/>
          <w:lang w:eastAsia="zh-CN"/>
        </w:rPr>
        <w:endnoteReference w:id="162"/>
      </w:r>
      <w:r w:rsidRPr="005D7EEC">
        <w:rPr>
          <w:lang w:eastAsia="zh-CN"/>
        </w:rPr>
        <w:t>.  The strength and influence of the IPPUC in particular is closely associated with the planning trajectory taken by Curitiba, which has benefited from the centrality and long-term presence of the IPPUC in the overall governance of the city.</w:t>
      </w:r>
    </w:p>
    <w:p w14:paraId="34E01C9F" w14:textId="55FF986C" w:rsidR="00870BE8" w:rsidRPr="005D7EEC" w:rsidRDefault="00313763" w:rsidP="00CE5506">
      <w:pPr>
        <w:pStyle w:val="Heading2"/>
        <w:rPr>
          <w:rFonts w:cs="Arial"/>
        </w:rPr>
      </w:pPr>
      <w:r w:rsidRPr="005D7EEC">
        <w:rPr>
          <w:rFonts w:cs="Arial"/>
        </w:rPr>
        <w:t xml:space="preserve">7.5 </w:t>
      </w:r>
      <w:r w:rsidR="00870BE8" w:rsidRPr="005D7EEC">
        <w:rPr>
          <w:rFonts w:cs="Arial"/>
        </w:rPr>
        <w:t xml:space="preserve">Thematic discussion </w:t>
      </w:r>
    </w:p>
    <w:p w14:paraId="14B6D628" w14:textId="77777777" w:rsidR="00870BE8" w:rsidRPr="005D7EEC" w:rsidRDefault="00870BE8" w:rsidP="00870BE8">
      <w:pPr>
        <w:pStyle w:val="Heading3"/>
        <w:rPr>
          <w:rFonts w:ascii="Arial" w:hAnsi="Arial" w:cs="Arial"/>
        </w:rPr>
      </w:pPr>
      <w:r w:rsidRPr="005D7EEC">
        <w:rPr>
          <w:rFonts w:ascii="Arial" w:hAnsi="Arial" w:cs="Arial"/>
        </w:rPr>
        <w:t>Liveable neighbourhoods between infrastructure corridors</w:t>
      </w:r>
    </w:p>
    <w:p w14:paraId="45428091" w14:textId="77777777" w:rsidR="00870BE8" w:rsidRPr="005D7EEC" w:rsidRDefault="00870BE8" w:rsidP="00870BE8">
      <w:pPr>
        <w:rPr>
          <w:rFonts w:cs="Arial"/>
        </w:rPr>
      </w:pPr>
      <w:r w:rsidRPr="005D7EEC">
        <w:rPr>
          <w:rFonts w:cs="Arial"/>
        </w:rPr>
        <w:t>The major innovation of the 1965 Wilheim Plan was to adapt Curitiba’s existing radial road structure into five linear transit-oriented axes that cut through the city centre and along which development would be concentrated</w:t>
      </w:r>
      <w:r w:rsidRPr="005D7EEC">
        <w:rPr>
          <w:rStyle w:val="EndnoteReference"/>
          <w:rFonts w:cs="Arial"/>
        </w:rPr>
        <w:endnoteReference w:id="163"/>
      </w:r>
      <w:r w:rsidRPr="005D7EEC">
        <w:rPr>
          <w:rFonts w:cs="Arial"/>
        </w:rPr>
        <w:t>. This provided a worked proposal for a public transport system and for mixed-use development that would reorientate the city away from a low-density car-dependent future. As a result, the city is mainly known in planning circles for its transport system, which uses the world’s first BRT to achieve efficiencies in the absence of funds for subway construction</w:t>
      </w:r>
      <w:r w:rsidRPr="005D7EEC">
        <w:rPr>
          <w:rStyle w:val="EndnoteReference"/>
          <w:rFonts w:cs="Arial"/>
        </w:rPr>
        <w:endnoteReference w:id="164"/>
      </w:r>
      <w:r w:rsidRPr="005D7EEC">
        <w:rPr>
          <w:rFonts w:cs="Arial"/>
        </w:rPr>
        <w:t>.</w:t>
      </w:r>
    </w:p>
    <w:p w14:paraId="234B11D2" w14:textId="77777777" w:rsidR="00870BE8" w:rsidRPr="005D7EEC" w:rsidRDefault="00870BE8" w:rsidP="00870BE8">
      <w:pPr>
        <w:rPr>
          <w:rFonts w:cs="Arial"/>
        </w:rPr>
      </w:pPr>
      <w:r w:rsidRPr="005D7EEC">
        <w:rPr>
          <w:rFonts w:cs="Arial"/>
        </w:rPr>
        <w:t xml:space="preserve">This innovation is only one, albeit major, component of a more wholesale approach to urban planning. Combined with land use planning powers to determine densities and use mix, Curitiba’s development fed off the then-current reorientation of planning away from modernism. </w:t>
      </w:r>
      <w:r w:rsidRPr="005D7EEC" w:rsidDel="00E90F63">
        <w:rPr>
          <w:rFonts w:cs="Arial"/>
        </w:rPr>
        <w:t>Instead</w:t>
      </w:r>
      <w:r w:rsidRPr="005D7EEC">
        <w:rPr>
          <w:rFonts w:cs="Arial"/>
        </w:rPr>
        <w:t>, Curitiba oriented its planning towards a more human scale approach to favour pedestrianisation, mixed-use neighbourhoods, public transport use, green space and heritage protections</w:t>
      </w:r>
      <w:r w:rsidRPr="005D7EEC">
        <w:rPr>
          <w:rStyle w:val="EndnoteReference"/>
          <w:rFonts w:cs="Arial"/>
        </w:rPr>
        <w:endnoteReference w:id="165"/>
      </w:r>
      <w:r w:rsidRPr="005D7EEC">
        <w:rPr>
          <w:rFonts w:cs="Arial"/>
        </w:rPr>
        <w:t>.</w:t>
      </w:r>
    </w:p>
    <w:p w14:paraId="11F76249" w14:textId="77777777" w:rsidR="00870BE8" w:rsidRPr="005D7EEC" w:rsidRDefault="00870BE8" w:rsidP="00870BE8">
      <w:pPr>
        <w:pStyle w:val="Heading3"/>
        <w:rPr>
          <w:rFonts w:ascii="Arial" w:hAnsi="Arial" w:cs="Arial"/>
        </w:rPr>
      </w:pPr>
      <w:r w:rsidRPr="005D7EEC">
        <w:rPr>
          <w:rFonts w:ascii="Arial" w:hAnsi="Arial" w:cs="Arial"/>
        </w:rPr>
        <w:lastRenderedPageBreak/>
        <w:t>Planning as the gradual building up of small-scale interventions</w:t>
      </w:r>
    </w:p>
    <w:p w14:paraId="5A823873" w14:textId="77777777" w:rsidR="00870BE8" w:rsidRPr="005D7EEC" w:rsidRDefault="00870BE8" w:rsidP="00870BE8">
      <w:pPr>
        <w:rPr>
          <w:rFonts w:cs="Arial"/>
        </w:rPr>
      </w:pPr>
      <w:r w:rsidRPr="005D7EEC">
        <w:rPr>
          <w:rFonts w:cs="Arial"/>
        </w:rPr>
        <w:t>The implementation of this overall strategy has become almost as well known as the strategy itself. The approach in Curitiba follows the principle that complex urban problems need not demand complex solutions. This focus on simplicity has been combined with a pragmatism that has led to a practical approach to ‘getting things done’. This is the tactical counterpart to the strategy. Its component parts are shown through a series of masterplans that have followed the 1965 plan. This is most obviously found in the so-called ‘urban acupunctures’ - small-scale interventions made at key points within the city, such as public squares, parks and transport interchanges, in order to catalyse change and whose impact goes beyond their scale</w:t>
      </w:r>
      <w:r w:rsidRPr="005D7EEC">
        <w:rPr>
          <w:rStyle w:val="EndnoteReference"/>
          <w:rFonts w:cs="Arial"/>
        </w:rPr>
        <w:endnoteReference w:id="166"/>
      </w:r>
      <w:r w:rsidRPr="005D7EEC">
        <w:rPr>
          <w:rFonts w:cs="Arial"/>
        </w:rPr>
        <w:t>.</w:t>
      </w:r>
    </w:p>
    <w:p w14:paraId="50BC7AE1" w14:textId="77777777" w:rsidR="00870BE8" w:rsidRPr="005D7EEC" w:rsidRDefault="00870BE8" w:rsidP="00870BE8">
      <w:pPr>
        <w:rPr>
          <w:rFonts w:cs="Arial"/>
        </w:rPr>
      </w:pPr>
      <w:r w:rsidRPr="005D7EEC">
        <w:rPr>
          <w:rFonts w:cs="Arial"/>
        </w:rPr>
        <w:t>These interventions can be as small in scale as tree planning on empty plots. They can be as comparatively large scale as the ‘Citizenship Streets’ initiative, which situated civic centres at transport stations in suburbs throughout the city. This improved accessibility to public services including housing and health support, as well as leisure and sports facilities.</w:t>
      </w:r>
    </w:p>
    <w:p w14:paraId="69C2E12D" w14:textId="77777777" w:rsidR="00870BE8" w:rsidRPr="005D7EEC" w:rsidRDefault="00870BE8" w:rsidP="00870BE8">
      <w:pPr>
        <w:rPr>
          <w:rFonts w:cs="Arial"/>
        </w:rPr>
      </w:pPr>
      <w:r w:rsidRPr="005D7EEC">
        <w:rPr>
          <w:rFonts w:cs="Arial"/>
        </w:rPr>
        <w:t>Many built environment interventions, including the Citizenship Streets and the tube-shaped bus terminal design, promote a highly recognisable public architecture that enhances urban legibility. More cynically, it is suggested that a number of public structures in the city seem to exist “with the purpose of simply imprinting the signature of each administration on the urban environment”</w:t>
      </w:r>
      <w:r w:rsidRPr="005D7EEC">
        <w:rPr>
          <w:rStyle w:val="EndnoteReference"/>
          <w:rFonts w:cs="Arial"/>
        </w:rPr>
        <w:endnoteReference w:id="167"/>
      </w:r>
      <w:r w:rsidRPr="005D7EEC">
        <w:rPr>
          <w:rFonts w:cs="Arial"/>
        </w:rPr>
        <w:t>.</w:t>
      </w:r>
    </w:p>
    <w:p w14:paraId="74457A93" w14:textId="77777777" w:rsidR="00870BE8" w:rsidRPr="005D7EEC" w:rsidRDefault="00870BE8" w:rsidP="00870BE8">
      <w:pPr>
        <w:rPr>
          <w:rFonts w:cs="Arial"/>
        </w:rPr>
      </w:pPr>
      <w:r w:rsidRPr="005D7EEC">
        <w:rPr>
          <w:rFonts w:cs="Arial"/>
        </w:rPr>
        <w:t>Curitiba has also worked on linking aspects of urban resilience such as waste management and urban agriculture. The municipality runs an Urban Agricultura Programme that supports vegetable gardens, urban farms, ‘honey gardens’ and composting facilities</w:t>
      </w:r>
      <w:r w:rsidRPr="005D7EEC">
        <w:rPr>
          <w:rStyle w:val="EndnoteReference"/>
          <w:rFonts w:cs="Arial"/>
        </w:rPr>
        <w:endnoteReference w:id="168"/>
      </w:r>
      <w:r w:rsidRPr="005D7EEC">
        <w:rPr>
          <w:rFonts w:cs="Arial"/>
        </w:rPr>
        <w:t>. Food access is linked to recycling. “For every 4kg recyclable waste collected the city reimburses its residents with 1kg of fresh fruits, eggs and vegetables or bus transit passes”</w:t>
      </w:r>
      <w:r w:rsidRPr="005D7EEC">
        <w:rPr>
          <w:rStyle w:val="EndnoteReference"/>
          <w:rFonts w:cs="Arial"/>
        </w:rPr>
        <w:endnoteReference w:id="169"/>
      </w:r>
      <w:r w:rsidRPr="005D7EEC">
        <w:rPr>
          <w:rFonts w:cs="Arial"/>
        </w:rPr>
        <w:t>. Residents can drop off recyclables at local green exchanges including those located at bus interchanges to receive fresh food in return.</w:t>
      </w:r>
    </w:p>
    <w:p w14:paraId="287C4394" w14:textId="77777777" w:rsidR="00870BE8" w:rsidRPr="005D7EEC" w:rsidRDefault="00870BE8" w:rsidP="00870BE8">
      <w:pPr>
        <w:rPr>
          <w:rFonts w:cs="Arial"/>
        </w:rPr>
      </w:pPr>
    </w:p>
    <w:p w14:paraId="42394714" w14:textId="46EEF56B" w:rsidR="00870BE8" w:rsidRPr="005D7EEC" w:rsidRDefault="00CB3EBB" w:rsidP="00870BE8">
      <w:pPr>
        <w:rPr>
          <w:rFonts w:cs="Arial"/>
        </w:rPr>
      </w:pPr>
      <w:r w:rsidRPr="005D7EEC">
        <w:rPr>
          <w:rFonts w:cs="Arial"/>
          <w:noProof/>
        </w:rPr>
        <w:drawing>
          <wp:inline distT="0" distB="0" distL="0" distR="0" wp14:anchorId="14E3E4C7" wp14:editId="0B121F1B">
            <wp:extent cx="4805575" cy="6505575"/>
            <wp:effectExtent l="0" t="0" r="0" b="0"/>
            <wp:docPr id="139754056" name="Picture 8" descr="A long shot down an modern interior arcade featuring a mezzanine deck and benches with people walking, standing and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056" name="Picture 8" descr="A long shot down an modern interior arcade featuring a mezzanine deck and benches with people walking, standing and sitti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808176" cy="6509097"/>
                    </a:xfrm>
                    <a:prstGeom prst="rect">
                      <a:avLst/>
                    </a:prstGeom>
                    <a:noFill/>
                    <a:ln>
                      <a:noFill/>
                    </a:ln>
                  </pic:spPr>
                </pic:pic>
              </a:graphicData>
            </a:graphic>
          </wp:inline>
        </w:drawing>
      </w:r>
      <w:r w:rsidR="00870BE8" w:rsidRPr="005D7EEC">
        <w:rPr>
          <w:rFonts w:cs="Arial"/>
        </w:rPr>
        <w:fldChar w:fldCharType="begin"/>
      </w:r>
      <w:r w:rsidR="00870BE8" w:rsidRPr="005D7EEC">
        <w:rPr>
          <w:rFonts w:cs="Arial"/>
        </w:rPr>
        <w:instrText xml:space="preserve"> INCLUDEPICTURE "https://mid-noticias.curitiba.pr.gov.br/2024/capa/00428328.jpg" \* MERGEFORMATINET </w:instrText>
      </w:r>
      <w:r w:rsidR="00870BE8" w:rsidRPr="005D7EEC">
        <w:rPr>
          <w:rFonts w:cs="Arial"/>
        </w:rPr>
        <w:fldChar w:fldCharType="separate"/>
      </w:r>
      <w:r w:rsidR="00870BE8" w:rsidRPr="005D7EEC">
        <w:rPr>
          <w:rFonts w:cs="Arial"/>
        </w:rPr>
        <w:fldChar w:fldCharType="end"/>
      </w:r>
    </w:p>
    <w:p w14:paraId="2A689A97" w14:textId="65ABDFB0" w:rsidR="00870BE8" w:rsidRPr="005D7EEC" w:rsidRDefault="00870BE8" w:rsidP="00870BE8">
      <w:pPr>
        <w:rPr>
          <w:rFonts w:cs="Arial"/>
          <w:i/>
          <w:iCs/>
        </w:rPr>
      </w:pPr>
      <w:r w:rsidRPr="005D7EEC">
        <w:rPr>
          <w:rFonts w:cs="Arial"/>
          <w:i/>
          <w:iCs/>
        </w:rPr>
        <w:t xml:space="preserve">Figure 6.3: </w:t>
      </w:r>
      <w:proofErr w:type="spellStart"/>
      <w:r w:rsidR="00720874" w:rsidRPr="005D7EEC">
        <w:rPr>
          <w:rFonts w:cs="Arial"/>
          <w:i/>
          <w:iCs/>
        </w:rPr>
        <w:t>Pinheirinho</w:t>
      </w:r>
      <w:proofErr w:type="spellEnd"/>
      <w:r w:rsidR="00720874" w:rsidRPr="005D7EEC">
        <w:rPr>
          <w:rFonts w:cs="Arial"/>
          <w:i/>
          <w:iCs/>
        </w:rPr>
        <w:t xml:space="preserve"> Citizenship Street. Maria F. Ramirez. Photographed March 2006. Copyright University of Cincinnati Libraries, Design, Architecture, Art, and Planning Library, JSTOR, </w:t>
      </w:r>
      <w:hyperlink r:id="rId49" w:history="1">
        <w:r w:rsidR="00720874" w:rsidRPr="005D7EEC">
          <w:rPr>
            <w:rStyle w:val="Hyperlink"/>
            <w:rFonts w:cs="Arial"/>
            <w:i/>
            <w:iCs/>
          </w:rPr>
          <w:t>https://jstor.org/stable/community.35182708</w:t>
        </w:r>
      </w:hyperlink>
      <w:r w:rsidR="00720874" w:rsidRPr="005D7EEC">
        <w:rPr>
          <w:rFonts w:cs="Arial"/>
          <w:i/>
          <w:iCs/>
        </w:rPr>
        <w:t xml:space="preserve"> Reproduced with permission.</w:t>
      </w:r>
    </w:p>
    <w:p w14:paraId="09FF61E9" w14:textId="77777777" w:rsidR="00870BE8" w:rsidRPr="005D7EEC" w:rsidRDefault="00870BE8" w:rsidP="00870BE8">
      <w:pPr>
        <w:rPr>
          <w:rFonts w:cs="Arial"/>
        </w:rPr>
      </w:pPr>
    </w:p>
    <w:p w14:paraId="255BCCF6" w14:textId="010E03BA" w:rsidR="00870BE8" w:rsidRPr="005D7EEC" w:rsidRDefault="00313763" w:rsidP="00CE5506">
      <w:pPr>
        <w:pStyle w:val="Heading2"/>
        <w:rPr>
          <w:rFonts w:cs="Arial"/>
        </w:rPr>
      </w:pPr>
      <w:r w:rsidRPr="005D7EEC">
        <w:rPr>
          <w:rFonts w:cs="Arial"/>
        </w:rPr>
        <w:lastRenderedPageBreak/>
        <w:t xml:space="preserve">7.6 </w:t>
      </w:r>
      <w:r w:rsidR="00870BE8" w:rsidRPr="005D7EEC">
        <w:rPr>
          <w:rFonts w:cs="Arial"/>
        </w:rPr>
        <w:t>Adaptability and flexibility: Levers and barriers</w:t>
      </w:r>
    </w:p>
    <w:p w14:paraId="4DD2BE60"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The measurement of Curitiba’s success in terms of adaptability and flexibility must be assessed against how it has addressed long-term urban challenges. Curitiba has been very effective in the management of its urban change over the past almost-half century. It has been able to address the challenges common to many cities of rapid population growth and a looming tendency towards urban sprawl. </w:t>
      </w:r>
    </w:p>
    <w:p w14:paraId="28DE4DE1"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Curitiba’s present trajectory dates back to the 1965 Wilheim Plan and the establishment of the IPPUC planning authority to oversee its implementation. The Wilheim Plan was written by a group of architects influenced by the ideas of Jane Jacobs and a human-centred urban form. This marked an urban transformation worth evaluating for what it can add to our understanding of how urban planning can function as a continuous adaptation to change.</w:t>
      </w:r>
    </w:p>
    <w:p w14:paraId="735E84E1"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Against the aim of creating a more human-centred, less car-dependent city, Curitiba has fought against the tide of rising car ownership and consumption that follows wage growth. Indeed, in 2010 Curitiba had the highest car ownership rate of any city in Brazil, reflecting its relative economic strength. Even within this context, however, Curitiba is viewed positively, scoring high on the Index of Sustainable Urban Mobility, with especially notable performance on indicators for accessibility of services and environmental quality</w:t>
      </w:r>
      <w:r w:rsidRPr="005D7EEC">
        <w:rPr>
          <w:rFonts w:eastAsiaTheme="minorEastAsia" w:cs="Arial"/>
          <w:vertAlign w:val="superscript"/>
          <w:lang w:eastAsia="zh-CN"/>
        </w:rPr>
        <w:endnoteReference w:id="170"/>
      </w:r>
      <w:r w:rsidRPr="005D7EEC">
        <w:rPr>
          <w:rFonts w:eastAsiaTheme="minorEastAsia" w:cs="Arial"/>
          <w:lang w:eastAsia="zh-CN"/>
        </w:rPr>
        <w:t>.</w:t>
      </w:r>
    </w:p>
    <w:p w14:paraId="0C1CAB45"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The city’s remarkable continuity of planning practice and political leadership in the first two decades that followed the Wilheim Plan is partly due to the close association between the city’s governance and the military dictatorship then leading Brazil. Curitiba could be used as a success story in Brazil’s economic miracle of the 1960s and 1970s. This predisposed the repressive military regime towards the city’s urban planning and management apparatus. It ensured that plans could be implemented without political opposition.</w:t>
      </w:r>
    </w:p>
    <w:p w14:paraId="42E32F89"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 xml:space="preserve">While Curitiba’s planning is rightly regarded as successful in its ability to adapt to change, it is questionable whether it was able to – or indeed needed to – incorporate and interpret the public interest into this flexibility. This is highlighted by the dependence of the Curitiba model upon the ‘locking-in’ of power of the IPPUC which was situated as a technical rather than political organisation. The IPPUC could </w:t>
      </w:r>
      <w:r w:rsidRPr="005D7EEC">
        <w:rPr>
          <w:rFonts w:eastAsiaTheme="minorEastAsia" w:cs="Arial"/>
          <w:lang w:eastAsia="zh-CN"/>
        </w:rPr>
        <w:lastRenderedPageBreak/>
        <w:t>promulgate technocratic urban management that was insulated from electoral politics without including sufficient citizen participation</w:t>
      </w:r>
      <w:r w:rsidRPr="005D7EEC">
        <w:rPr>
          <w:rStyle w:val="EndnoteReference"/>
          <w:rFonts w:eastAsiaTheme="minorEastAsia" w:cs="Arial"/>
          <w:lang w:eastAsia="zh-CN"/>
        </w:rPr>
        <w:endnoteReference w:id="171"/>
      </w:r>
      <w:r w:rsidRPr="005D7EEC">
        <w:rPr>
          <w:rFonts w:eastAsiaTheme="minorEastAsia" w:cs="Arial"/>
          <w:lang w:eastAsia="zh-CN"/>
        </w:rPr>
        <w:t>.</w:t>
      </w:r>
    </w:p>
    <w:p w14:paraId="20A380D3" w14:textId="77777777" w:rsidR="00870BE8" w:rsidRPr="005D7EEC" w:rsidRDefault="00870BE8" w:rsidP="00FE1AED">
      <w:pPr>
        <w:rPr>
          <w:lang w:eastAsia="zh-CN"/>
        </w:rPr>
      </w:pPr>
      <w:r w:rsidRPr="005D7EEC">
        <w:rPr>
          <w:lang w:eastAsia="zh-CN"/>
        </w:rPr>
        <w:t>In defence of the alliance of planning and politics that implemented Curitiba’s plans, the military junta could be viewed as an external condition that local planners and politicians had no choice but to operate within. The city’s planning approach was later validated by popular mandate with the coming of democracy in the mid-1980s.</w:t>
      </w:r>
    </w:p>
    <w:p w14:paraId="3B91E144" w14:textId="4925C675" w:rsidR="00870BE8" w:rsidRPr="005D7EEC" w:rsidRDefault="00313763" w:rsidP="00CE5506">
      <w:pPr>
        <w:pStyle w:val="Heading2"/>
        <w:rPr>
          <w:rFonts w:cs="Arial"/>
        </w:rPr>
      </w:pPr>
      <w:r w:rsidRPr="005D7EEC">
        <w:rPr>
          <w:rFonts w:cs="Arial"/>
        </w:rPr>
        <w:t xml:space="preserve">7.7 </w:t>
      </w:r>
      <w:r w:rsidR="00870BE8" w:rsidRPr="005D7EEC">
        <w:rPr>
          <w:rFonts w:cs="Arial"/>
        </w:rPr>
        <w:t>Key lessons for policy makers</w:t>
      </w:r>
    </w:p>
    <w:p w14:paraId="667BB389" w14:textId="77777777" w:rsidR="00870BE8" w:rsidRPr="005D7EEC" w:rsidRDefault="00870BE8" w:rsidP="00870BE8">
      <w:pPr>
        <w:pStyle w:val="Heading3"/>
        <w:rPr>
          <w:rFonts w:ascii="Arial" w:eastAsiaTheme="minorEastAsia" w:hAnsi="Arial" w:cs="Arial"/>
          <w:lang w:eastAsia="zh-CN"/>
        </w:rPr>
      </w:pPr>
      <w:r w:rsidRPr="005D7EEC">
        <w:rPr>
          <w:rFonts w:ascii="Arial" w:eastAsiaTheme="minorEastAsia" w:hAnsi="Arial" w:cs="Arial"/>
          <w:lang w:eastAsia="zh-CN"/>
        </w:rPr>
        <w:t>Lesson 1: Planning is dealing with change</w:t>
      </w:r>
    </w:p>
    <w:p w14:paraId="32A373B3"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The 1966 Plan was a persuasive vision for the future of the city of Curitiba. The effectiveness of the city’s development is due in part to its ability to put its faith in the Wilheim Plan and those that succeeded it. The plan’s inheritors did not build out the Plan over the subsequent decades solely because it was required to. Curitiba’s long-term governance maintained the principles established in the Plan because these offered a sound urban development framework that was also capable of adaption to changing circumstances. Its masterplans resemble strategic plans orientated around public projects rather than blueprint plans to be realised as detailed developments.</w:t>
      </w:r>
    </w:p>
    <w:p w14:paraId="439A6734"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 xml:space="preserve">To fulfil the strategic intentions of the plan is, somewhat paradoxically, to acknowledge that planning involves not only the forethought to formulate the plan in the first place but also the responsiveness to adapt to changing conditions. It is important to acknowledge that the plan for a new town, or for a drastically altered one in the case of Curitiba, is more than anything the </w:t>
      </w:r>
      <w:r w:rsidRPr="005D7EEC">
        <w:rPr>
          <w:rFonts w:eastAsiaTheme="minorEastAsia" w:cs="Arial"/>
          <w:b/>
          <w:bCs/>
          <w:lang w:eastAsia="zh-CN"/>
        </w:rPr>
        <w:t>establishment of a trajectory</w:t>
      </w:r>
      <w:r w:rsidRPr="005D7EEC">
        <w:rPr>
          <w:rFonts w:eastAsiaTheme="minorEastAsia" w:cs="Arial"/>
          <w:lang w:eastAsia="zh-CN"/>
        </w:rPr>
        <w:t xml:space="preserve">. In the language of institutional change, the plan is </w:t>
      </w:r>
      <w:r w:rsidRPr="005D7EEC">
        <w:rPr>
          <w:rFonts w:eastAsiaTheme="minorEastAsia" w:cs="Arial"/>
          <w:i/>
          <w:iCs/>
          <w:lang w:eastAsia="zh-CN"/>
        </w:rPr>
        <w:t>path-shaping</w:t>
      </w:r>
      <w:r w:rsidRPr="005D7EEC">
        <w:rPr>
          <w:rFonts w:eastAsiaTheme="minorEastAsia" w:cs="Arial"/>
          <w:lang w:eastAsia="zh-CN"/>
        </w:rPr>
        <w:t>, but the future development of the city need not be path-dependent</w:t>
      </w:r>
      <w:r w:rsidRPr="005D7EEC">
        <w:rPr>
          <w:rStyle w:val="EndnoteReference"/>
          <w:rFonts w:eastAsiaTheme="minorEastAsia" w:cs="Arial"/>
          <w:lang w:eastAsia="zh-CN"/>
        </w:rPr>
        <w:endnoteReference w:id="172"/>
      </w:r>
      <w:r w:rsidRPr="005D7EEC">
        <w:rPr>
          <w:rFonts w:eastAsiaTheme="minorEastAsia" w:cs="Arial"/>
          <w:i/>
          <w:iCs/>
          <w:lang w:eastAsia="zh-CN"/>
        </w:rPr>
        <w:t>.</w:t>
      </w:r>
    </w:p>
    <w:p w14:paraId="1576132E" w14:textId="77777777" w:rsidR="00870BE8" w:rsidRPr="005D7EEC" w:rsidRDefault="00870BE8" w:rsidP="00FE1AED">
      <w:pPr>
        <w:rPr>
          <w:lang w:eastAsia="zh-CN"/>
        </w:rPr>
      </w:pPr>
      <w:r w:rsidRPr="005D7EEC">
        <w:rPr>
          <w:lang w:eastAsia="zh-CN"/>
        </w:rPr>
        <w:t>The original vision for Curitiba has been characterised as having established a “developmental trajectory that is more important than any individual period in itself”</w:t>
      </w:r>
      <w:r w:rsidRPr="005D7EEC">
        <w:rPr>
          <w:rStyle w:val="EndnoteReference"/>
          <w:rFonts w:eastAsiaTheme="minorEastAsia" w:cs="Arial"/>
          <w:lang w:eastAsia="zh-CN"/>
        </w:rPr>
        <w:endnoteReference w:id="173"/>
      </w:r>
      <w:r w:rsidRPr="005D7EEC">
        <w:rPr>
          <w:lang w:eastAsia="zh-CN"/>
        </w:rPr>
        <w:t>.  This is reinforced by Jaime Lerner’s reflection on Curitiba’s development: “to innovate is to start: planning is a trajectory that can always be adjusted if you listen to the people”</w:t>
      </w:r>
      <w:r w:rsidRPr="005D7EEC">
        <w:rPr>
          <w:rStyle w:val="EndnoteReference"/>
          <w:rFonts w:eastAsiaTheme="minorEastAsia" w:cs="Arial"/>
          <w:lang w:eastAsia="zh-CN"/>
        </w:rPr>
        <w:t xml:space="preserve"> </w:t>
      </w:r>
      <w:r w:rsidRPr="005D7EEC">
        <w:rPr>
          <w:rStyle w:val="EndnoteReference"/>
          <w:rFonts w:eastAsiaTheme="minorEastAsia" w:cs="Arial"/>
          <w:lang w:eastAsia="zh-CN"/>
        </w:rPr>
        <w:endnoteReference w:id="174"/>
      </w:r>
      <w:r w:rsidRPr="005D7EEC">
        <w:rPr>
          <w:lang w:eastAsia="zh-CN"/>
        </w:rPr>
        <w:t>.</w:t>
      </w:r>
      <w:r w:rsidRPr="005D7EEC" w:rsidDel="009B56BA">
        <w:rPr>
          <w:lang w:eastAsia="zh-CN"/>
        </w:rPr>
        <w:t xml:space="preserve"> </w:t>
      </w:r>
      <w:r w:rsidRPr="005D7EEC">
        <w:rPr>
          <w:lang w:eastAsia="zh-CN"/>
        </w:rPr>
        <w:t>Curitiba’s approach has been to formulate a strategic long-</w:t>
      </w:r>
      <w:r w:rsidRPr="005D7EEC">
        <w:rPr>
          <w:lang w:eastAsia="zh-CN"/>
        </w:rPr>
        <w:lastRenderedPageBreak/>
        <w:t>term vision and to integrate incremental decision-making into the ongoing realisation of that vision.</w:t>
      </w:r>
    </w:p>
    <w:p w14:paraId="6DCA84A7" w14:textId="77777777" w:rsidR="00870BE8" w:rsidRPr="005D7EEC" w:rsidRDefault="00870BE8" w:rsidP="00870BE8">
      <w:pPr>
        <w:pStyle w:val="Heading3"/>
        <w:rPr>
          <w:rFonts w:ascii="Arial" w:eastAsiaTheme="minorEastAsia" w:hAnsi="Arial" w:cs="Arial"/>
          <w:lang w:eastAsia="zh-CN"/>
        </w:rPr>
      </w:pPr>
      <w:r w:rsidRPr="005D7EEC">
        <w:rPr>
          <w:rFonts w:ascii="Arial" w:eastAsiaTheme="minorEastAsia" w:hAnsi="Arial" w:cs="Arial"/>
          <w:lang w:eastAsia="zh-CN"/>
        </w:rPr>
        <w:t>Lesson 2: Adaptive urban management as well as urban planning</w:t>
      </w:r>
    </w:p>
    <w:p w14:paraId="0D4FFCAC"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Much of the attention to new towns internationally will rightly focus on urban planning’s land-use planning function, encompassing site selection, land assembly, layout and servicing of land. Yet Curitiba demonstrates the critical role of coordinating and managerial qualities of strategic spatial planning. It shows the importance of the associated tying together of manifold urban functions into a coherent notion of urban management. This builds on the previous lesson that planning must be understood as dealing with change. It further demonstrates that solutions to urban problems need urban management that goes well beyond the realisation of a plan or strategy. Curitiba emphasises the importance of understanding and managing the city as an ongoing – in fact never-ending – </w:t>
      </w:r>
      <w:r w:rsidRPr="005D7EEC">
        <w:rPr>
          <w:rFonts w:eastAsiaTheme="minorEastAsia" w:cs="Arial"/>
          <w:b/>
          <w:bCs/>
          <w:lang w:eastAsia="zh-CN"/>
        </w:rPr>
        <w:t>project of adaption</w:t>
      </w:r>
      <w:r w:rsidRPr="005D7EEC">
        <w:rPr>
          <w:rFonts w:eastAsiaTheme="minorEastAsia" w:cs="Arial"/>
          <w:lang w:eastAsia="zh-CN"/>
        </w:rPr>
        <w:t>.</w:t>
      </w:r>
    </w:p>
    <w:p w14:paraId="509D0BA7"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To support the implementation of the 1965 Plan, the state of Paraná created the IPPUC. Originally tasked with supporting the implementation of the plan, the IPPUC became a ‘brain-pool’</w:t>
      </w:r>
      <w:r w:rsidRPr="005D7EEC">
        <w:rPr>
          <w:rStyle w:val="EndnoteReference"/>
          <w:rFonts w:eastAsiaTheme="minorEastAsia" w:cs="Arial"/>
          <w:lang w:eastAsia="zh-CN"/>
        </w:rPr>
        <w:endnoteReference w:id="175"/>
      </w:r>
      <w:r w:rsidRPr="005D7EEC">
        <w:rPr>
          <w:rFonts w:eastAsiaTheme="minorEastAsia" w:cs="Arial"/>
          <w:lang w:eastAsia="zh-CN"/>
        </w:rPr>
        <w:t xml:space="preserve"> of architects, engineers, and social scientists that combine long-term strategic thinking with day-to-day problem-solving</w:t>
      </w:r>
      <w:r w:rsidRPr="005D7EEC">
        <w:rPr>
          <w:rStyle w:val="EndnoteReference"/>
          <w:rFonts w:eastAsiaTheme="minorEastAsia" w:cs="Arial"/>
          <w:lang w:eastAsia="zh-CN"/>
        </w:rPr>
        <w:endnoteReference w:id="176"/>
      </w:r>
      <w:r w:rsidRPr="005D7EEC">
        <w:rPr>
          <w:rFonts w:eastAsiaTheme="minorEastAsia" w:cs="Arial"/>
          <w:lang w:eastAsia="zh-CN"/>
        </w:rPr>
        <w:t xml:space="preserve">. Quasi-autonomous from the city government, the IPPUC nevertheless has a close connection to the mayor’s office, pointing to the centrality of planning to the city’s ongoing development.  </w:t>
      </w:r>
    </w:p>
    <w:p w14:paraId="33D4F636" w14:textId="77777777" w:rsidR="00870BE8" w:rsidRPr="005D7EEC" w:rsidRDefault="00870BE8" w:rsidP="00FE1AED">
      <w:pPr>
        <w:rPr>
          <w:lang w:eastAsia="zh-CN"/>
        </w:rPr>
      </w:pPr>
      <w:r w:rsidRPr="005D7EEC">
        <w:rPr>
          <w:lang w:eastAsia="zh-CN"/>
        </w:rPr>
        <w:t xml:space="preserve">Planning by local government and IPPUC, as effectively an urban planning and management agency, has a high value in Curitiba. This is demonstrated by the continuity between the head of IPPUC role and the mayor’s office. Both Jaime Lerner, and later Cassio Taniguchi, have made the journey from leading the IPPUC to leading the city. The intermediate space occupied by the IPPUC gave it a quasi-autonomous status, and insulated it from politics. Yet it has a direct channel of communication to the mayor. This has granted the IPPUC coherence and continuity but equally means it does not completely represent Curitiba’s citizens. Similar questions have been grappled with in other new town management contexts, where </w:t>
      </w:r>
      <w:r w:rsidRPr="005D7EEC">
        <w:rPr>
          <w:lang w:eastAsia="zh-CN"/>
        </w:rPr>
        <w:lastRenderedPageBreak/>
        <w:t>the balance between local authorities and early New Town Corporations was crucial</w:t>
      </w:r>
      <w:r w:rsidRPr="005D7EEC">
        <w:rPr>
          <w:rStyle w:val="EndnoteReference"/>
          <w:rFonts w:eastAsiaTheme="minorEastAsia" w:cs="Arial"/>
          <w:lang w:eastAsia="zh-CN"/>
        </w:rPr>
        <w:endnoteReference w:id="177"/>
      </w:r>
      <w:r w:rsidRPr="005D7EEC">
        <w:rPr>
          <w:lang w:eastAsia="zh-CN"/>
        </w:rPr>
        <w:t>.</w:t>
      </w:r>
    </w:p>
    <w:p w14:paraId="0BF648B7" w14:textId="77777777" w:rsidR="00870BE8" w:rsidRPr="005D7EEC" w:rsidRDefault="00870BE8" w:rsidP="00870BE8">
      <w:pPr>
        <w:pStyle w:val="Heading3"/>
        <w:rPr>
          <w:rFonts w:ascii="Arial" w:eastAsiaTheme="minorEastAsia" w:hAnsi="Arial" w:cs="Arial"/>
          <w:lang w:eastAsia="zh-CN"/>
        </w:rPr>
      </w:pPr>
      <w:r w:rsidRPr="005D7EEC">
        <w:rPr>
          <w:rFonts w:ascii="Arial" w:eastAsiaTheme="minorEastAsia" w:hAnsi="Arial" w:cs="Arial"/>
          <w:lang w:eastAsia="zh-CN"/>
        </w:rPr>
        <w:t>Lesson 3: Urban complexity demands the integration of solutions</w:t>
      </w:r>
    </w:p>
    <w:p w14:paraId="025058D2"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In the course of devising solutions to urban problems, the IPPUC has taken a holistic approach. This ties together issues that span the extent of the city’s working parts. Curitiba does not insulate matters like transport, housing, water, and waste within discrete functional areas. Instead, Curitiba’s planning develops a strategic overview that casts these as different parts of the same machine. This enables decision-makers to consider their interrelationships.  </w:t>
      </w:r>
    </w:p>
    <w:p w14:paraId="5F6C1693"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In this approach to managing urban complexity, Curitiba’s problems with flooding were addressed in a way that also addressed its lack of access to water for leisure and recreation. This meant that the standard solution of engineered flood run-off channels was replaced by a sustainable urban drainage solution. A series of lakes was created to serve as both retention ponds for flood water and recreational spaces.</w:t>
      </w:r>
      <w:r w:rsidRPr="005D7EEC">
        <w:rPr>
          <w:rStyle w:val="EndnoteReference"/>
          <w:rFonts w:eastAsiaTheme="minorEastAsia" w:cs="Arial"/>
          <w:lang w:eastAsia="zh-CN"/>
        </w:rPr>
        <w:endnoteReference w:id="178"/>
      </w:r>
      <w:r w:rsidRPr="005D7EEC">
        <w:rPr>
          <w:rFonts w:eastAsiaTheme="minorEastAsia" w:cs="Arial"/>
          <w:lang w:eastAsia="zh-CN"/>
        </w:rPr>
        <w:t xml:space="preserve">  </w:t>
      </w:r>
    </w:p>
    <w:p w14:paraId="50AAFEA3"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As put by Cassio Taniguchi, former head of the IPPUC and later mayor of Curitiba: </w:t>
      </w:r>
    </w:p>
    <w:p w14:paraId="4AF7A003" w14:textId="77777777" w:rsidR="00870BE8" w:rsidRPr="005D7EEC" w:rsidRDefault="00870BE8" w:rsidP="00FE1AED">
      <w:pPr>
        <w:ind w:left="720"/>
        <w:rPr>
          <w:lang w:eastAsia="zh-CN"/>
        </w:rPr>
      </w:pPr>
      <w:r w:rsidRPr="005D7EEC">
        <w:rPr>
          <w:lang w:eastAsia="zh-CN"/>
        </w:rPr>
        <w:t>“That is one of the fundamental concepts of Curitiba: never to think about transport in an isolated manner; never to isolate the shantytown issue; never to use land in an isolated manner. Planning uses this as a lever within an urban structuring process that makes possible an organicism of several urban functions – all of them mixed.”</w:t>
      </w:r>
      <w:r w:rsidRPr="005D7EEC">
        <w:rPr>
          <w:rStyle w:val="EndnoteReference"/>
          <w:rFonts w:eastAsiaTheme="minorEastAsia" w:cs="Arial"/>
          <w:lang w:eastAsia="zh-CN"/>
        </w:rPr>
        <w:endnoteReference w:id="179"/>
      </w:r>
      <w:r w:rsidRPr="005D7EEC">
        <w:rPr>
          <w:lang w:eastAsia="zh-CN"/>
        </w:rPr>
        <w:t xml:space="preserve">. </w:t>
      </w:r>
    </w:p>
    <w:p w14:paraId="18C2630B" w14:textId="77777777" w:rsidR="00870BE8" w:rsidRPr="005D7EEC" w:rsidRDefault="00870BE8" w:rsidP="00870BE8">
      <w:pPr>
        <w:pStyle w:val="Heading3"/>
        <w:rPr>
          <w:rFonts w:ascii="Arial" w:hAnsi="Arial" w:cs="Arial"/>
        </w:rPr>
      </w:pPr>
      <w:r w:rsidRPr="005D7EEC">
        <w:rPr>
          <w:rFonts w:ascii="Arial" w:hAnsi="Arial" w:cs="Arial"/>
        </w:rPr>
        <w:t>Lesson 4: Human scaled planning approaches work</w:t>
      </w:r>
    </w:p>
    <w:p w14:paraId="745E4933" w14:textId="77777777" w:rsidR="00870BE8" w:rsidRPr="005D7EEC" w:rsidRDefault="00870BE8" w:rsidP="00870BE8">
      <w:pPr>
        <w:spacing w:after="160"/>
        <w:rPr>
          <w:rFonts w:cs="Arial"/>
        </w:rPr>
      </w:pPr>
      <w:r w:rsidRPr="005D7EEC">
        <w:rPr>
          <w:rFonts w:cs="Arial"/>
        </w:rPr>
        <w:t xml:space="preserve">Curitiba demonstrates that land-use planning powers can be used to reorientate planning away from over-scaled modernism. This has proved possible, even while maintaining a </w:t>
      </w:r>
      <w:r w:rsidRPr="005D7EEC" w:rsidDel="00597073">
        <w:rPr>
          <w:rFonts w:cs="Arial"/>
        </w:rPr>
        <w:t>city</w:t>
      </w:r>
      <w:r w:rsidRPr="005D7EEC">
        <w:rPr>
          <w:rFonts w:cs="Arial"/>
        </w:rPr>
        <w:t xml:space="preserve">-wide focus on placemaking through development of its urban axes. Curitiba has been able to adapt densities, land use mix and movement structure towards a more human scaled approach. This favours pedestrianisation, mixed-use neighbourhoods, public transport use, easier access to green and food growing space, and more heritage protections. </w:t>
      </w:r>
    </w:p>
    <w:p w14:paraId="602B302C" w14:textId="77777777" w:rsidR="00870BE8" w:rsidRPr="005D7EEC" w:rsidRDefault="00870BE8" w:rsidP="00870BE8">
      <w:pPr>
        <w:rPr>
          <w:rFonts w:cs="Arial"/>
        </w:rPr>
      </w:pPr>
      <w:r w:rsidRPr="005D7EEC">
        <w:rPr>
          <w:rFonts w:cs="Arial"/>
        </w:rPr>
        <w:lastRenderedPageBreak/>
        <w:t>Like other new town cases applying these placemaking principles has had a positive impact on the city’s resilience and liveability. Policy makers in other new towns can learn from this application of the human scale to planning.</w:t>
      </w:r>
    </w:p>
    <w:p w14:paraId="4D4B6952" w14:textId="647656A2" w:rsidR="00DD392D" w:rsidRPr="005D7EEC" w:rsidRDefault="00DD392D">
      <w:pPr>
        <w:rPr>
          <w:rFonts w:cs="Arial"/>
        </w:rPr>
      </w:pPr>
    </w:p>
    <w:p w14:paraId="6827D94B" w14:textId="632B6265" w:rsidR="00DD392D" w:rsidRPr="005D7EEC" w:rsidRDefault="00313763" w:rsidP="00CE5506">
      <w:pPr>
        <w:pStyle w:val="Heading2"/>
        <w:rPr>
          <w:rFonts w:cs="Arial"/>
        </w:rPr>
        <w:sectPr w:rsidR="00DD392D" w:rsidRPr="005D7EEC" w:rsidSect="007821EB">
          <w:endnotePr>
            <w:numFmt w:val="decimal"/>
          </w:endnotePr>
          <w:pgSz w:w="11906" w:h="16838"/>
          <w:pgMar w:top="1440" w:right="1440" w:bottom="1440" w:left="1440" w:header="708" w:footer="741" w:gutter="0"/>
          <w:cols w:space="708"/>
          <w:docGrid w:linePitch="360"/>
        </w:sectPr>
      </w:pPr>
      <w:r w:rsidRPr="005D7EEC">
        <w:rPr>
          <w:rFonts w:cs="Arial"/>
        </w:rPr>
        <w:t xml:space="preserve">7.8 </w:t>
      </w:r>
      <w:r w:rsidR="00DD392D" w:rsidRPr="005D7EEC">
        <w:rPr>
          <w:rFonts w:cs="Arial"/>
        </w:rPr>
        <w:t>References</w:t>
      </w:r>
    </w:p>
    <w:p w14:paraId="72FD5001" w14:textId="77777777" w:rsidR="00216384" w:rsidRDefault="00216384" w:rsidP="00216384">
      <w:pPr>
        <w:pStyle w:val="Heading1"/>
      </w:pPr>
      <w:bookmarkStart w:id="36" w:name="_Toc220349527"/>
      <w:bookmarkStart w:id="37" w:name="_Toc221626823"/>
      <w:r>
        <w:lastRenderedPageBreak/>
        <w:t>8. Synthesis of cross-cutting findings from case studies</w:t>
      </w:r>
      <w:bookmarkEnd w:id="36"/>
      <w:bookmarkEnd w:id="37"/>
    </w:p>
    <w:p w14:paraId="5AE04D00" w14:textId="0F57F14E" w:rsidR="00250D14" w:rsidRDefault="00250D14" w:rsidP="004E565F">
      <w:pPr>
        <w:pStyle w:val="Heading2"/>
      </w:pPr>
      <w:r>
        <w:t>8.1</w:t>
      </w:r>
      <w:r w:rsidR="0060471D">
        <w:t xml:space="preserve"> Lessons from case studies</w:t>
      </w:r>
    </w:p>
    <w:p w14:paraId="5B8D57F2" w14:textId="5F304BFF" w:rsidR="00216384" w:rsidRDefault="00216384" w:rsidP="00216384">
      <w:pPr>
        <w:rPr>
          <w:rFonts w:eastAsia="Aptos"/>
        </w:rPr>
      </w:pPr>
      <w:r>
        <w:t>In this section we synthesise important learning points which either occur in more than one case study, or through comparison between two or more cases.</w:t>
      </w:r>
    </w:p>
    <w:p w14:paraId="5873B827" w14:textId="1EAF01AB" w:rsidR="00216384" w:rsidRPr="00873367" w:rsidRDefault="00216384" w:rsidP="00216384">
      <w:pPr>
        <w:pStyle w:val="Heading2"/>
        <w:rPr>
          <w:rFonts w:eastAsia="Aptos"/>
        </w:rPr>
      </w:pPr>
      <w:r>
        <w:rPr>
          <w:rFonts w:eastAsia="Aptos"/>
        </w:rPr>
        <w:t>8.</w:t>
      </w:r>
      <w:r w:rsidR="0060471D">
        <w:rPr>
          <w:rFonts w:eastAsia="Aptos"/>
        </w:rPr>
        <w:t>2</w:t>
      </w:r>
      <w:r>
        <w:rPr>
          <w:rFonts w:eastAsia="Aptos"/>
        </w:rPr>
        <w:t xml:space="preserve"> </w:t>
      </w:r>
      <w:r w:rsidRPr="00873367">
        <w:rPr>
          <w:rFonts w:eastAsia="Aptos"/>
        </w:rPr>
        <w:t>Lesson 1: Consistency of approach</w:t>
      </w:r>
      <w:r>
        <w:rPr>
          <w:rFonts w:eastAsia="Aptos"/>
        </w:rPr>
        <w:t xml:space="preserve"> over time</w:t>
      </w:r>
    </w:p>
    <w:p w14:paraId="6A6C96D1" w14:textId="77777777" w:rsidR="00216384" w:rsidRDefault="00216384" w:rsidP="00216384">
      <w:pPr>
        <w:rPr>
          <w:rFonts w:eastAsia="Aptos" w:cs="Aptos"/>
        </w:rPr>
      </w:pPr>
      <w:r w:rsidRPr="00873367">
        <w:rPr>
          <w:rFonts w:eastAsia="Aptos" w:cs="Aptos"/>
        </w:rPr>
        <w:t>A consistent approach to planning policy</w:t>
      </w:r>
      <w:r>
        <w:rPr>
          <w:rFonts w:eastAsia="Aptos" w:cs="Aptos"/>
        </w:rPr>
        <w:t xml:space="preserve"> over time</w:t>
      </w:r>
      <w:r w:rsidRPr="00873367">
        <w:rPr>
          <w:rFonts w:eastAsia="Aptos" w:cs="Aptos"/>
        </w:rPr>
        <w:t xml:space="preserve"> has led to benefits in the most successful new towns. This might be at the national scale (Almere); regional (Paris) or city (Freiburg and Curitiba), but in all instances there has been coherence in polic</w:t>
      </w:r>
      <w:r w:rsidRPr="00CB201E">
        <w:rPr>
          <w:rFonts w:eastAsia="Aptos" w:cs="Aptos"/>
        </w:rPr>
        <w:t xml:space="preserve">y </w:t>
      </w:r>
      <w:r w:rsidRPr="008254B0">
        <w:rPr>
          <w:rFonts w:eastAsia="Aptos" w:cs="Aptos"/>
        </w:rPr>
        <w:t>principles</w:t>
      </w:r>
      <w:r w:rsidRPr="00CB201E">
        <w:rPr>
          <w:rFonts w:eastAsia="Aptos" w:cs="Aptos"/>
        </w:rPr>
        <w:t>, but not necessarily a rigidity in, for example, urban design choices.</w:t>
      </w:r>
    </w:p>
    <w:p w14:paraId="62E2CA48" w14:textId="77777777" w:rsidR="00216384" w:rsidRPr="00873367" w:rsidRDefault="00216384" w:rsidP="00216384">
      <w:pPr>
        <w:rPr>
          <w:rFonts w:eastAsia="Aptos" w:cs="Aptos"/>
        </w:rPr>
      </w:pPr>
      <w:r>
        <w:rPr>
          <w:rFonts w:eastAsia="Aptos" w:cs="Aptos"/>
        </w:rPr>
        <w:t>These principles</w:t>
      </w:r>
      <w:r w:rsidRPr="00873367">
        <w:rPr>
          <w:rFonts w:eastAsia="Aptos" w:cs="Aptos"/>
        </w:rPr>
        <w:t xml:space="preserve"> been maintained through changes in government and ideological approach, with important planning philosophies being maintained. </w:t>
      </w:r>
      <w:r>
        <w:rPr>
          <w:rFonts w:eastAsia="Aptos" w:cs="Aptos"/>
        </w:rPr>
        <w:t>In turn</w:t>
      </w:r>
      <w:r w:rsidRPr="008254B0">
        <w:rPr>
          <w:rFonts w:eastAsia="Aptos" w:cs="Aptos"/>
          <w:b/>
          <w:bCs/>
        </w:rPr>
        <w:t>, this has lent itself to a successful atmosphere of experimentation</w:t>
      </w:r>
      <w:r w:rsidRPr="00873367">
        <w:rPr>
          <w:rFonts w:eastAsia="Aptos" w:cs="Aptos"/>
        </w:rPr>
        <w:t xml:space="preserve"> in design, parking</w:t>
      </w:r>
      <w:r>
        <w:rPr>
          <w:rFonts w:eastAsia="Aptos" w:cs="Aptos"/>
        </w:rPr>
        <w:t>,</w:t>
      </w:r>
      <w:r w:rsidRPr="00873367">
        <w:rPr>
          <w:rFonts w:eastAsia="Aptos" w:cs="Aptos"/>
        </w:rPr>
        <w:t xml:space="preserve"> and other aspects of placemaking. Almere, Freiburg and Daybreak</w:t>
      </w:r>
      <w:r>
        <w:rPr>
          <w:rFonts w:eastAsia="Aptos" w:cs="Aptos"/>
        </w:rPr>
        <w:t xml:space="preserve"> have displayed this,</w:t>
      </w:r>
      <w:r w:rsidRPr="00873367">
        <w:rPr>
          <w:rFonts w:eastAsia="Aptos" w:cs="Aptos"/>
        </w:rPr>
        <w:t xml:space="preserve"> </w:t>
      </w:r>
      <w:r>
        <w:rPr>
          <w:rFonts w:eastAsia="Aptos" w:cs="Aptos"/>
        </w:rPr>
        <w:t>as well as,</w:t>
      </w:r>
      <w:r w:rsidRPr="00873367">
        <w:rPr>
          <w:rFonts w:eastAsia="Aptos" w:cs="Aptos"/>
        </w:rPr>
        <w:t xml:space="preserve"> more recently</w:t>
      </w:r>
      <w:r>
        <w:rPr>
          <w:rFonts w:eastAsia="Aptos" w:cs="Aptos"/>
        </w:rPr>
        <w:t>,</w:t>
      </w:r>
      <w:r w:rsidRPr="00873367">
        <w:rPr>
          <w:rFonts w:eastAsia="Aptos" w:cs="Aptos"/>
        </w:rPr>
        <w:t xml:space="preserve"> the Paris region as it has sought to redesign its new towns.</w:t>
      </w:r>
    </w:p>
    <w:p w14:paraId="31771DC0" w14:textId="3ADFC953" w:rsidR="00216384" w:rsidRPr="00873367" w:rsidRDefault="00216384" w:rsidP="00216384">
      <w:pPr>
        <w:pStyle w:val="Heading2"/>
        <w:rPr>
          <w:rFonts w:eastAsia="Aptos"/>
        </w:rPr>
      </w:pPr>
      <w:r>
        <w:rPr>
          <w:rFonts w:eastAsia="Aptos"/>
        </w:rPr>
        <w:t>8.</w:t>
      </w:r>
      <w:r w:rsidR="0060471D">
        <w:rPr>
          <w:rFonts w:eastAsia="Aptos"/>
        </w:rPr>
        <w:t>3</w:t>
      </w:r>
      <w:r>
        <w:rPr>
          <w:rFonts w:eastAsia="Aptos"/>
        </w:rPr>
        <w:t xml:space="preserve"> </w:t>
      </w:r>
      <w:r w:rsidRPr="00873367">
        <w:rPr>
          <w:rFonts w:eastAsia="Aptos"/>
        </w:rPr>
        <w:t xml:space="preserve">Lesson 2: </w:t>
      </w:r>
      <w:r>
        <w:rPr>
          <w:rFonts w:eastAsia="Aptos"/>
        </w:rPr>
        <w:t>The i</w:t>
      </w:r>
      <w:r w:rsidRPr="00873367">
        <w:rPr>
          <w:rFonts w:eastAsia="Aptos"/>
        </w:rPr>
        <w:t>mportance of partnerships</w:t>
      </w:r>
    </w:p>
    <w:p w14:paraId="41BD1050" w14:textId="77777777" w:rsidR="00216384" w:rsidRDefault="00216384" w:rsidP="00216384">
      <w:pPr>
        <w:rPr>
          <w:rFonts w:eastAsia="Aptos" w:cs="Aptos"/>
        </w:rPr>
      </w:pPr>
      <w:r w:rsidRPr="00873367">
        <w:rPr>
          <w:rFonts w:eastAsia="Aptos" w:cs="Aptos"/>
        </w:rPr>
        <w:t xml:space="preserve">The UK government should seek to foster effective partnerships in the delivery of new towns. The city-regional governance and </w:t>
      </w:r>
      <w:proofErr w:type="spellStart"/>
      <w:r w:rsidRPr="00873367">
        <w:rPr>
          <w:rFonts w:eastAsia="Aptos" w:cs="Aptos"/>
        </w:rPr>
        <w:t>masterplanning</w:t>
      </w:r>
      <w:proofErr w:type="spellEnd"/>
      <w:r w:rsidRPr="00873367">
        <w:rPr>
          <w:rFonts w:eastAsia="Aptos" w:cs="Aptos"/>
        </w:rPr>
        <w:t xml:space="preserve"> model in Paris has proven successful in integrating local plans into a regional approach, developing economic vibrancy and excellent transport connectivity at this scale. </w:t>
      </w:r>
    </w:p>
    <w:p w14:paraId="0D27A46F" w14:textId="77777777" w:rsidR="00216384" w:rsidRPr="00873367" w:rsidRDefault="00216384" w:rsidP="00216384">
      <w:pPr>
        <w:rPr>
          <w:rFonts w:eastAsia="Aptos" w:cs="Aptos"/>
        </w:rPr>
      </w:pPr>
      <w:r w:rsidRPr="00873367">
        <w:rPr>
          <w:rFonts w:eastAsia="Aptos" w:cs="Aptos"/>
        </w:rPr>
        <w:t>In Daybreak, the private sector is taking the lead on development, and through a commitment to corporate social responsibility has pursued innovative and high-quality development.</w:t>
      </w:r>
    </w:p>
    <w:p w14:paraId="44DBE1DC" w14:textId="1AC2A9ED" w:rsidR="00216384" w:rsidRPr="00873367" w:rsidRDefault="00216384" w:rsidP="00216384">
      <w:pPr>
        <w:pStyle w:val="Heading2"/>
        <w:rPr>
          <w:rFonts w:eastAsia="Aptos"/>
        </w:rPr>
      </w:pPr>
      <w:r>
        <w:rPr>
          <w:rFonts w:eastAsia="Aptos"/>
        </w:rPr>
        <w:t>8.</w:t>
      </w:r>
      <w:r w:rsidR="0060471D">
        <w:rPr>
          <w:rFonts w:eastAsia="Aptos"/>
        </w:rPr>
        <w:t xml:space="preserve">4 </w:t>
      </w:r>
      <w:r w:rsidRPr="00873367">
        <w:rPr>
          <w:rFonts w:eastAsia="Aptos"/>
        </w:rPr>
        <w:t>Lesson 3: Use masterplanning to offer a clear but flexible vision</w:t>
      </w:r>
    </w:p>
    <w:p w14:paraId="42747CDA" w14:textId="77777777" w:rsidR="00216384" w:rsidRDefault="00216384" w:rsidP="00216384">
      <w:pPr>
        <w:rPr>
          <w:rFonts w:eastAsia="Aptos" w:cs="Aptos"/>
        </w:rPr>
      </w:pPr>
      <w:proofErr w:type="spellStart"/>
      <w:r w:rsidRPr="00873367">
        <w:rPr>
          <w:rFonts w:eastAsia="Aptos" w:cs="Aptos"/>
        </w:rPr>
        <w:lastRenderedPageBreak/>
        <w:t>Masterplanning</w:t>
      </w:r>
      <w:proofErr w:type="spellEnd"/>
      <w:r w:rsidRPr="00873367">
        <w:rPr>
          <w:rFonts w:eastAsia="Aptos" w:cs="Aptos"/>
        </w:rPr>
        <w:t xml:space="preserve"> </w:t>
      </w:r>
      <w:r>
        <w:rPr>
          <w:rFonts w:eastAsia="Aptos" w:cs="Aptos"/>
        </w:rPr>
        <w:t>can</w:t>
      </w:r>
      <w:r w:rsidRPr="00873367">
        <w:rPr>
          <w:rFonts w:eastAsia="Aptos" w:cs="Aptos"/>
        </w:rPr>
        <w:t xml:space="preserve"> </w:t>
      </w:r>
      <w:r>
        <w:rPr>
          <w:rFonts w:eastAsia="Aptos" w:cs="Aptos"/>
        </w:rPr>
        <w:t>provide</w:t>
      </w:r>
      <w:r w:rsidRPr="00873367">
        <w:rPr>
          <w:rFonts w:eastAsia="Aptos" w:cs="Aptos"/>
        </w:rPr>
        <w:t xml:space="preserve"> a clear vision with scope for flexibility in delivery. Almere, Freiburg and Curitiba all show the benefits of high-quality masterplans as do more recently parts of the Paris region. Chandigarh and Almere offer two contrasting trajectories of planned urbanism that reveal important lessons for the UK new town context. </w:t>
      </w:r>
    </w:p>
    <w:p w14:paraId="09E69F6D" w14:textId="77777777" w:rsidR="00216384" w:rsidRDefault="00216384" w:rsidP="00216384">
      <w:pPr>
        <w:rPr>
          <w:rFonts w:eastAsia="Aptos" w:cs="Aptos"/>
        </w:rPr>
      </w:pPr>
      <w:r w:rsidRPr="00873367">
        <w:rPr>
          <w:rFonts w:eastAsia="Aptos" w:cs="Aptos"/>
        </w:rPr>
        <w:t xml:space="preserve">Chandigarh exemplifies a highly prescriptive masterplan with monumental architecture and rigid land-use segregation. Almere, by contrast, can be understood as an adaptive and iterative project, where </w:t>
      </w:r>
      <w:r w:rsidRPr="008254B0">
        <w:rPr>
          <w:rFonts w:eastAsia="Aptos" w:cs="Aptos"/>
          <w:b/>
          <w:bCs/>
        </w:rPr>
        <w:t>planning frameworks were deliberately flexible and allowed for incremental growth over time</w:t>
      </w:r>
      <w:r w:rsidRPr="00873367">
        <w:rPr>
          <w:rFonts w:eastAsia="Aptos" w:cs="Aptos"/>
        </w:rPr>
        <w:t>.</w:t>
      </w:r>
    </w:p>
    <w:p w14:paraId="6F7EBF1C" w14:textId="77777777" w:rsidR="00216384" w:rsidRPr="00873367" w:rsidRDefault="00216384" w:rsidP="0051347F">
      <w:r w:rsidRPr="00873367">
        <w:t xml:space="preserve">These divergent approaches highlight the limits of rigid </w:t>
      </w:r>
      <w:proofErr w:type="spellStart"/>
      <w:r w:rsidRPr="00873367">
        <w:t>masterplanning</w:t>
      </w:r>
      <w:proofErr w:type="spellEnd"/>
      <w:r w:rsidRPr="00873367">
        <w:t>. Almere demonstrates the value of a more open-ended framework that can accommodate social, economic, and technological change.</w:t>
      </w:r>
    </w:p>
    <w:p w14:paraId="6C767CF2" w14:textId="38FD9981" w:rsidR="00216384" w:rsidRPr="00873367" w:rsidRDefault="00216384" w:rsidP="00216384">
      <w:pPr>
        <w:pStyle w:val="Heading2"/>
        <w:rPr>
          <w:rFonts w:eastAsia="Aptos"/>
        </w:rPr>
      </w:pPr>
      <w:r>
        <w:rPr>
          <w:rFonts w:eastAsia="Aptos"/>
        </w:rPr>
        <w:t>8.</w:t>
      </w:r>
      <w:r w:rsidR="0060471D">
        <w:rPr>
          <w:rFonts w:eastAsia="Aptos"/>
        </w:rPr>
        <w:t>5</w:t>
      </w:r>
      <w:r>
        <w:rPr>
          <w:rFonts w:eastAsia="Aptos"/>
        </w:rPr>
        <w:t xml:space="preserve"> </w:t>
      </w:r>
      <w:r w:rsidRPr="00873367">
        <w:rPr>
          <w:rFonts w:eastAsia="Aptos"/>
        </w:rPr>
        <w:t>Lesson 4: Strong community involvement</w:t>
      </w:r>
    </w:p>
    <w:p w14:paraId="18A43FC9" w14:textId="77777777" w:rsidR="00216384" w:rsidRPr="00873367" w:rsidRDefault="00216384" w:rsidP="00216384">
      <w:pPr>
        <w:rPr>
          <w:rFonts w:eastAsia="Aptos" w:cs="Aptos"/>
        </w:rPr>
      </w:pPr>
      <w:r w:rsidRPr="00873367">
        <w:rPr>
          <w:rFonts w:eastAsia="Aptos" w:cs="Aptos"/>
        </w:rPr>
        <w:t>The local planning process in Almere and Freiburg is characterised by</w:t>
      </w:r>
      <w:r w:rsidRPr="00873367">
        <w:rPr>
          <w:rFonts w:eastAsia="Aptos" w:cs="Aptos"/>
          <w:b/>
          <w:bCs/>
        </w:rPr>
        <w:t xml:space="preserve"> </w:t>
      </w:r>
      <w:proofErr w:type="spellStart"/>
      <w:r w:rsidRPr="00873367">
        <w:rPr>
          <w:rFonts w:eastAsia="Aptos" w:cs="Aptos"/>
          <w:b/>
          <w:bCs/>
        </w:rPr>
        <w:t>self</w:t>
      </w:r>
      <w:r>
        <w:rPr>
          <w:rFonts w:eastAsia="Aptos" w:cs="Aptos"/>
          <w:b/>
          <w:bCs/>
        </w:rPr>
        <w:t xml:space="preserve"> </w:t>
      </w:r>
      <w:r w:rsidRPr="00873367">
        <w:rPr>
          <w:rFonts w:eastAsia="Aptos" w:cs="Aptos"/>
          <w:b/>
          <w:bCs/>
        </w:rPr>
        <w:t>organisation</w:t>
      </w:r>
      <w:proofErr w:type="spellEnd"/>
      <w:r w:rsidRPr="00873367">
        <w:rPr>
          <w:rFonts w:eastAsia="Aptos" w:cs="Aptos"/>
          <w:b/>
          <w:bCs/>
        </w:rPr>
        <w:t xml:space="preserve"> and strong community involvement</w:t>
      </w:r>
      <w:r w:rsidRPr="00873367">
        <w:rPr>
          <w:rFonts w:eastAsia="Aptos" w:cs="Aptos"/>
        </w:rPr>
        <w:t>, with the opposite broadly true in Chandigarh. In Almere and Freiburg, planning processes are oriented around a bottom-up approach, with strong legal and cultural emphases on communities having not just a right to speak, but a right to be h</w:t>
      </w:r>
      <w:r>
        <w:rPr>
          <w:rFonts w:eastAsia="Aptos" w:cs="Aptos"/>
        </w:rPr>
        <w:t>e</w:t>
      </w:r>
      <w:r w:rsidRPr="00873367">
        <w:rPr>
          <w:rFonts w:eastAsia="Aptos" w:cs="Aptos"/>
        </w:rPr>
        <w:t>ard. These communities in turn feel a strong affinity with their place, and support measures such as reducing car ownership</w:t>
      </w:r>
      <w:r>
        <w:rPr>
          <w:rFonts w:eastAsia="Aptos" w:cs="Aptos"/>
        </w:rPr>
        <w:t>. This is</w:t>
      </w:r>
      <w:r w:rsidRPr="00873367">
        <w:rPr>
          <w:rFonts w:eastAsia="Aptos" w:cs="Aptos"/>
        </w:rPr>
        <w:t xml:space="preserve"> in contrast to in Chandigarh, where a top-down approach with little community involvement, perhaps typical of the time, has meant that local people have felt the need to adapt the environment to meet their social, economic and cultural needs.</w:t>
      </w:r>
    </w:p>
    <w:p w14:paraId="702FBCD6" w14:textId="73F6AA60" w:rsidR="00216384" w:rsidRPr="00873367" w:rsidRDefault="00216384" w:rsidP="00216384">
      <w:pPr>
        <w:pStyle w:val="Heading2"/>
        <w:rPr>
          <w:rFonts w:eastAsia="Aptos"/>
        </w:rPr>
      </w:pPr>
      <w:r>
        <w:rPr>
          <w:rFonts w:eastAsia="Aptos"/>
        </w:rPr>
        <w:t>8.</w:t>
      </w:r>
      <w:r w:rsidR="0060471D">
        <w:rPr>
          <w:rFonts w:eastAsia="Aptos"/>
        </w:rPr>
        <w:t>6</w:t>
      </w:r>
      <w:r>
        <w:rPr>
          <w:rFonts w:eastAsia="Aptos"/>
        </w:rPr>
        <w:t xml:space="preserve"> </w:t>
      </w:r>
      <w:r w:rsidRPr="00873367">
        <w:rPr>
          <w:rFonts w:eastAsia="Aptos"/>
        </w:rPr>
        <w:t>Lesson 5: Importance of land assembly</w:t>
      </w:r>
    </w:p>
    <w:p w14:paraId="726C4E22" w14:textId="77777777" w:rsidR="00216384" w:rsidRPr="00873367" w:rsidRDefault="00216384" w:rsidP="00216384">
      <w:pPr>
        <w:rPr>
          <w:rFonts w:eastAsia="Aptos" w:cs="Aptos"/>
        </w:rPr>
      </w:pPr>
      <w:r w:rsidRPr="008254B0">
        <w:rPr>
          <w:rFonts w:eastAsia="Aptos" w:cs="Aptos"/>
        </w:rPr>
        <w:t>Assembly (or reclamation) of land</w:t>
      </w:r>
      <w:r w:rsidRPr="00ED0D3C">
        <w:rPr>
          <w:rFonts w:eastAsia="Aptos" w:cs="Aptos"/>
        </w:rPr>
        <w:t xml:space="preserve"> by a public sector actor is an important feature</w:t>
      </w:r>
      <w:r>
        <w:rPr>
          <w:rFonts w:eastAsia="Aptos" w:cs="Aptos"/>
        </w:rPr>
        <w:t xml:space="preserve"> of successful large-scale development</w:t>
      </w:r>
      <w:r w:rsidRPr="00ED0D3C">
        <w:rPr>
          <w:rFonts w:eastAsia="Aptos" w:cs="Aptos"/>
        </w:rPr>
        <w:t>, particularly in the context of the UK and its highly fragmented</w:t>
      </w:r>
      <w:r w:rsidRPr="00873367">
        <w:rPr>
          <w:rFonts w:eastAsia="Aptos" w:cs="Aptos"/>
        </w:rPr>
        <w:t xml:space="preserve"> land ownership. Local authorities have made use of compulsory purchase powers to keep land values low</w:t>
      </w:r>
      <w:r>
        <w:rPr>
          <w:rFonts w:eastAsia="Aptos" w:cs="Aptos"/>
        </w:rPr>
        <w:t>, and</w:t>
      </w:r>
      <w:r w:rsidRPr="00873367">
        <w:rPr>
          <w:rFonts w:eastAsia="Aptos" w:cs="Aptos"/>
        </w:rPr>
        <w:t xml:space="preserve"> </w:t>
      </w:r>
      <w:r>
        <w:rPr>
          <w:rFonts w:eastAsia="Aptos" w:cs="Aptos"/>
        </w:rPr>
        <w:t>p</w:t>
      </w:r>
      <w:r w:rsidRPr="00873367">
        <w:rPr>
          <w:rFonts w:eastAsia="Aptos" w:cs="Aptos"/>
        </w:rPr>
        <w:t xml:space="preserve">lanning gain has been retained for </w:t>
      </w:r>
      <w:r w:rsidRPr="00873367">
        <w:rPr>
          <w:rFonts w:eastAsia="Aptos" w:cs="Aptos"/>
        </w:rPr>
        <w:lastRenderedPageBreak/>
        <w:t>the benefit of the public as opposed to landowners through these approaches in Paris and Freiburg. This in turn means that high quality infrastructure and community facilities are installed before developments are occupied.</w:t>
      </w:r>
    </w:p>
    <w:p w14:paraId="3FFE59E0" w14:textId="58F30DC6" w:rsidR="00216384" w:rsidRPr="00873367" w:rsidRDefault="00216384" w:rsidP="00216384">
      <w:pPr>
        <w:pStyle w:val="Heading2"/>
        <w:rPr>
          <w:rFonts w:eastAsia="Aptos"/>
        </w:rPr>
      </w:pPr>
      <w:r>
        <w:rPr>
          <w:rFonts w:eastAsia="Aptos"/>
        </w:rPr>
        <w:t>8.</w:t>
      </w:r>
      <w:r w:rsidR="0060471D">
        <w:rPr>
          <w:rFonts w:eastAsia="Aptos"/>
        </w:rPr>
        <w:t>7</w:t>
      </w:r>
      <w:r>
        <w:rPr>
          <w:rFonts w:eastAsia="Aptos"/>
        </w:rPr>
        <w:t xml:space="preserve"> </w:t>
      </w:r>
      <w:r w:rsidRPr="00873367">
        <w:rPr>
          <w:rFonts w:eastAsia="Aptos"/>
        </w:rPr>
        <w:t>Lesson 6: Effective transport planning is key to more sustainable living</w:t>
      </w:r>
    </w:p>
    <w:p w14:paraId="1BCAB307" w14:textId="77777777" w:rsidR="00216384" w:rsidRDefault="00216384" w:rsidP="00216384">
      <w:pPr>
        <w:rPr>
          <w:rFonts w:eastAsia="Aptos" w:cs="Aptos"/>
        </w:rPr>
      </w:pPr>
      <w:r w:rsidRPr="00873367">
        <w:rPr>
          <w:rFonts w:eastAsia="Aptos" w:cs="Aptos"/>
        </w:rPr>
        <w:t>The case studies showed a range of approaches to transport planning, with some areas being particularly successfu</w:t>
      </w:r>
      <w:r w:rsidRPr="003401C2">
        <w:rPr>
          <w:rFonts w:eastAsia="Aptos" w:cs="Aptos"/>
        </w:rPr>
        <w:t>l in</w:t>
      </w:r>
      <w:r w:rsidRPr="008254B0">
        <w:rPr>
          <w:rFonts w:eastAsia="Aptos" w:cs="Aptos"/>
          <w:b/>
          <w:bCs/>
        </w:rPr>
        <w:t xml:space="preserve"> incorporating </w:t>
      </w:r>
      <w:r w:rsidRPr="009E4EB1">
        <w:rPr>
          <w:rFonts w:eastAsia="Aptos" w:cs="Aptos"/>
          <w:b/>
          <w:bCs/>
        </w:rPr>
        <w:t>active travel and public transport</w:t>
      </w:r>
      <w:r w:rsidRPr="009E4EB1">
        <w:rPr>
          <w:rFonts w:eastAsia="Aptos" w:cs="Aptos"/>
        </w:rPr>
        <w:t xml:space="preserve">. In some (notably Almere, Freiburg and Daybreak), cycling and walking has been given priority. The Daybreak case, in Utah, USA, may be particularly surprising in this context, with schools being built within walking distance of homes. Strong </w:t>
      </w:r>
      <w:r w:rsidRPr="008254B0">
        <w:rPr>
          <w:rFonts w:eastAsia="Aptos" w:cs="Aptos"/>
        </w:rPr>
        <w:t>regional transport connectivity</w:t>
      </w:r>
      <w:r w:rsidRPr="009E4EB1">
        <w:rPr>
          <w:rFonts w:eastAsia="Aptos" w:cs="Aptos"/>
        </w:rPr>
        <w:t xml:space="preserve"> characterises</w:t>
      </w:r>
      <w:r w:rsidRPr="00873367">
        <w:rPr>
          <w:rFonts w:eastAsia="Aptos" w:cs="Aptos"/>
        </w:rPr>
        <w:t xml:space="preserve"> the Paris new towns, which been instrumental in allowing the </w:t>
      </w:r>
      <w:r>
        <w:rPr>
          <w:rFonts w:eastAsia="Aptos" w:cs="Aptos"/>
        </w:rPr>
        <w:t>‘</w:t>
      </w:r>
      <w:r w:rsidRPr="00873367">
        <w:rPr>
          <w:rFonts w:eastAsia="Aptos" w:cs="Aptos"/>
        </w:rPr>
        <w:t xml:space="preserve">concentrated </w:t>
      </w:r>
      <w:proofErr w:type="spellStart"/>
      <w:r w:rsidRPr="00873367">
        <w:rPr>
          <w:rFonts w:eastAsia="Aptos" w:cs="Aptos"/>
        </w:rPr>
        <w:t>deconcentration</w:t>
      </w:r>
      <w:proofErr w:type="spellEnd"/>
      <w:r>
        <w:rPr>
          <w:rFonts w:eastAsia="Aptos" w:cs="Aptos"/>
        </w:rPr>
        <w:t>’</w:t>
      </w:r>
      <w:r w:rsidRPr="00873367">
        <w:rPr>
          <w:rFonts w:eastAsia="Aptos" w:cs="Aptos"/>
        </w:rPr>
        <w:t xml:space="preserve"> approach to work and taking some heat off a deeply overheated central Paris.</w:t>
      </w:r>
      <w:r>
        <w:rPr>
          <w:rFonts w:eastAsia="Aptos" w:cs="Aptos"/>
        </w:rPr>
        <w:t xml:space="preserve"> </w:t>
      </w:r>
      <w:r w:rsidRPr="00873367">
        <w:rPr>
          <w:rFonts w:eastAsia="Aptos" w:cs="Aptos"/>
        </w:rPr>
        <w:t xml:space="preserve">Public transport is consequently very well used in Almere, Freiburg, Daybreak, Paris and Curitiba, </w:t>
      </w:r>
      <w:r>
        <w:rPr>
          <w:rFonts w:eastAsia="Aptos" w:cs="Aptos"/>
        </w:rPr>
        <w:t xml:space="preserve">and </w:t>
      </w:r>
      <w:r w:rsidRPr="00873367">
        <w:rPr>
          <w:rFonts w:eastAsia="Aptos" w:cs="Aptos"/>
        </w:rPr>
        <w:t>encouraged by a range of planning (and non-planning</w:t>
      </w:r>
      <w:r w:rsidRPr="00873367">
        <w:rPr>
          <w:rFonts w:eastAsia="Aptos" w:cs="Aptos"/>
          <w:vertAlign w:val="superscript"/>
        </w:rPr>
        <w:endnoteReference w:id="180"/>
      </w:r>
      <w:r w:rsidRPr="00873367">
        <w:rPr>
          <w:rFonts w:eastAsia="Aptos" w:cs="Aptos"/>
        </w:rPr>
        <w:t>) approaches, including designing settlements around public transport routes in Freiburg – even if the tram, in the Vauban instance, was not installed until some years after construction of homes began.</w:t>
      </w:r>
    </w:p>
    <w:p w14:paraId="4A42E66A" w14:textId="77777777" w:rsidR="00216384" w:rsidRPr="00873367" w:rsidRDefault="00216384" w:rsidP="00216384">
      <w:pPr>
        <w:rPr>
          <w:rFonts w:eastAsia="Aptos" w:cs="Aptos"/>
        </w:rPr>
      </w:pPr>
      <w:r w:rsidRPr="00873367">
        <w:rPr>
          <w:rFonts w:eastAsia="Aptos" w:cs="Aptos"/>
        </w:rPr>
        <w:t xml:space="preserve">Car ownership is higher than average in some of the case study locations, notably Chandigarh and Curitiba, but this appears in part to be due to demographics as opposed to an absence of choice – in Curitiba at least. In Chandigarh and </w:t>
      </w:r>
      <w:r>
        <w:rPr>
          <w:rFonts w:eastAsia="Aptos" w:cs="Aptos"/>
        </w:rPr>
        <w:t xml:space="preserve">the </w:t>
      </w:r>
      <w:r w:rsidRPr="00873367">
        <w:rPr>
          <w:rFonts w:eastAsia="Aptos" w:cs="Aptos"/>
        </w:rPr>
        <w:t>Paris</w:t>
      </w:r>
      <w:r>
        <w:rPr>
          <w:rFonts w:eastAsia="Aptos" w:cs="Aptos"/>
        </w:rPr>
        <w:t xml:space="preserve"> region</w:t>
      </w:r>
      <w:r w:rsidRPr="00873367">
        <w:rPr>
          <w:rFonts w:eastAsia="Aptos" w:cs="Aptos"/>
        </w:rPr>
        <w:t xml:space="preserve">, conversely, roads are dominant, compromising walkability and everyday social interaction – these new towns were built during the </w:t>
      </w:r>
      <w:r>
        <w:rPr>
          <w:rFonts w:eastAsia="Aptos" w:cs="Aptos"/>
        </w:rPr>
        <w:t>‘</w:t>
      </w:r>
      <w:r w:rsidRPr="00873367">
        <w:rPr>
          <w:rFonts w:eastAsia="Aptos" w:cs="Aptos"/>
        </w:rPr>
        <w:t>high point</w:t>
      </w:r>
      <w:r>
        <w:rPr>
          <w:rFonts w:eastAsia="Aptos" w:cs="Aptos"/>
        </w:rPr>
        <w:t>’</w:t>
      </w:r>
      <w:r w:rsidRPr="00873367">
        <w:rPr>
          <w:rFonts w:eastAsia="Aptos" w:cs="Aptos"/>
        </w:rPr>
        <w:t xml:space="preserve"> of modernism in the 1960s. This sort of path dependency has been hard to break in Chandigarh, but since the 1990s a number of the Parisian new towns have worked on walkable, compact, mixed-use design</w:t>
      </w:r>
      <w:r>
        <w:rPr>
          <w:rFonts w:eastAsia="Aptos" w:cs="Aptos"/>
        </w:rPr>
        <w:t>.</w:t>
      </w:r>
      <w:r w:rsidRPr="00873367">
        <w:rPr>
          <w:rFonts w:eastAsia="Aptos" w:cs="Aptos"/>
        </w:rPr>
        <w:t xml:space="preserve"> </w:t>
      </w:r>
      <w:r>
        <w:rPr>
          <w:rFonts w:eastAsia="Aptos" w:cs="Aptos"/>
        </w:rPr>
        <w:t>A</w:t>
      </w:r>
      <w:r w:rsidRPr="00873367">
        <w:rPr>
          <w:rFonts w:eastAsia="Aptos" w:cs="Aptos"/>
        </w:rPr>
        <w:t>s a consequence</w:t>
      </w:r>
      <w:r>
        <w:rPr>
          <w:rFonts w:eastAsia="Aptos" w:cs="Aptos"/>
        </w:rPr>
        <w:t xml:space="preserve"> they</w:t>
      </w:r>
      <w:r w:rsidRPr="00873367">
        <w:rPr>
          <w:rFonts w:eastAsia="Aptos" w:cs="Aptos"/>
        </w:rPr>
        <w:t xml:space="preserve"> have much more accessible, less car dependent form</w:t>
      </w:r>
      <w:r>
        <w:rPr>
          <w:rFonts w:eastAsia="Aptos" w:cs="Aptos"/>
        </w:rPr>
        <w:t>s</w:t>
      </w:r>
      <w:r w:rsidRPr="00873367">
        <w:rPr>
          <w:rFonts w:eastAsia="Aptos" w:cs="Aptos"/>
        </w:rPr>
        <w:t xml:space="preserve"> – demonstrating </w:t>
      </w:r>
      <w:r w:rsidRPr="008254B0">
        <w:rPr>
          <w:rFonts w:eastAsia="Aptos" w:cs="Aptos"/>
        </w:rPr>
        <w:t xml:space="preserve">flexibility and adaptability </w:t>
      </w:r>
      <w:r w:rsidRPr="009E4EB1">
        <w:rPr>
          <w:rFonts w:eastAsia="Aptos" w:cs="Aptos"/>
        </w:rPr>
        <w:t>through</w:t>
      </w:r>
      <w:r w:rsidRPr="00873367">
        <w:rPr>
          <w:rFonts w:eastAsia="Aptos" w:cs="Aptos"/>
        </w:rPr>
        <w:t xml:space="preserve"> active urban design and planning.</w:t>
      </w:r>
    </w:p>
    <w:p w14:paraId="038E464E" w14:textId="7F644A27" w:rsidR="00216384" w:rsidRPr="008254B0" w:rsidRDefault="00216384" w:rsidP="00216384">
      <w:pPr>
        <w:pStyle w:val="Heading2"/>
        <w:rPr>
          <w:rFonts w:eastAsia="Aptos"/>
          <w:b w:val="0"/>
        </w:rPr>
      </w:pPr>
      <w:r>
        <w:rPr>
          <w:rFonts w:eastAsia="Aptos"/>
        </w:rPr>
        <w:t>8.</w:t>
      </w:r>
      <w:r w:rsidR="0060471D">
        <w:rPr>
          <w:rFonts w:eastAsia="Aptos"/>
        </w:rPr>
        <w:t>8</w:t>
      </w:r>
      <w:r>
        <w:rPr>
          <w:rFonts w:eastAsia="Aptos"/>
        </w:rPr>
        <w:t xml:space="preserve"> </w:t>
      </w:r>
      <w:r w:rsidRPr="008254B0">
        <w:rPr>
          <w:rFonts w:eastAsia="Aptos"/>
        </w:rPr>
        <w:t>Lesson 7: Proactive planning for housing leads to diversity of tenure</w:t>
      </w:r>
    </w:p>
    <w:p w14:paraId="042BD0FE" w14:textId="77777777" w:rsidR="00216384" w:rsidRPr="00873367" w:rsidRDefault="00216384" w:rsidP="00216384">
      <w:pPr>
        <w:rPr>
          <w:rFonts w:eastAsia="Aptos" w:cs="Aptos"/>
        </w:rPr>
      </w:pPr>
      <w:r w:rsidRPr="00C46C85">
        <w:rPr>
          <w:rFonts w:eastAsia="Aptos" w:cs="Aptos"/>
        </w:rPr>
        <w:lastRenderedPageBreak/>
        <w:t xml:space="preserve">In some case studies there is an emphasis </w:t>
      </w:r>
      <w:r w:rsidRPr="00642D3B">
        <w:rPr>
          <w:rFonts w:eastAsia="Aptos" w:cs="Aptos"/>
        </w:rPr>
        <w:t xml:space="preserve">on </w:t>
      </w:r>
      <w:r w:rsidRPr="008254B0">
        <w:rPr>
          <w:rFonts w:eastAsia="Aptos" w:cs="Aptos"/>
        </w:rPr>
        <w:t>affordable housing</w:t>
      </w:r>
      <w:r w:rsidRPr="00C46C85">
        <w:rPr>
          <w:rFonts w:eastAsia="Aptos" w:cs="Aptos"/>
        </w:rPr>
        <w:t xml:space="preserve"> provision, notably Almere, Paris and Freiburg. These are communities built over very different periods, and in different global and local fiscal contexts, showing an enduring commitment to the importance of this principle. Conversely, the popularity of Vauban (in Freiburg) and Daybreak has led to property prices being higher than in similar places. Whether this is a positive or negative is a matter of opinion, but it certainly reflects the popularity of well designed and built new communities, a point we return to below. </w:t>
      </w:r>
      <w:r w:rsidRPr="008254B0">
        <w:rPr>
          <w:rFonts w:eastAsia="Aptos" w:cs="Aptos"/>
          <w:b/>
          <w:bCs/>
        </w:rPr>
        <w:t xml:space="preserve">The role of </w:t>
      </w:r>
      <w:r w:rsidRPr="00426CEA">
        <w:rPr>
          <w:rFonts w:eastAsia="Aptos" w:cs="Aptos"/>
          <w:b/>
          <w:bCs/>
        </w:rPr>
        <w:t>self-build</w:t>
      </w:r>
      <w:r w:rsidRPr="008254B0">
        <w:rPr>
          <w:rFonts w:eastAsia="Aptos" w:cs="Aptos"/>
          <w:b/>
          <w:bCs/>
        </w:rPr>
        <w:t>, prominent in Almere and Freiburg, is another recurring aspect of housebuilding.</w:t>
      </w:r>
      <w:r w:rsidRPr="00C46C85">
        <w:rPr>
          <w:rFonts w:eastAsia="Aptos" w:cs="Aptos"/>
        </w:rPr>
        <w:t xml:space="preserve"> This is perhaps reflective of a housing market and culture that is more supportive of this model of delivery, but it is also actively planned for in both contexts, and possible residents of self-build zones are involved in the planning process from an early point. In Freiburg, Almere and Daybreak, there is an intentional mix of dwelling types, sizes and density, avoiding some of the </w:t>
      </w:r>
      <w:r w:rsidRPr="00C46C85">
        <w:rPr>
          <w:rFonts w:eastAsia="Aptos" w:cs="Aptos"/>
          <w:b/>
          <w:bCs/>
        </w:rPr>
        <w:t>mono-tenure</w:t>
      </w:r>
      <w:r w:rsidRPr="00C46C85">
        <w:rPr>
          <w:rFonts w:eastAsia="Aptos" w:cs="Aptos"/>
        </w:rPr>
        <w:t xml:space="preserve"> problems afflicting the UK post-war </w:t>
      </w:r>
      <w:r>
        <w:rPr>
          <w:rFonts w:eastAsia="Aptos" w:cs="Aptos"/>
        </w:rPr>
        <w:t>n</w:t>
      </w:r>
      <w:r w:rsidRPr="00C46C85">
        <w:rPr>
          <w:rFonts w:eastAsia="Aptos" w:cs="Aptos"/>
        </w:rPr>
        <w:t xml:space="preserve">ew </w:t>
      </w:r>
      <w:r>
        <w:rPr>
          <w:rFonts w:eastAsia="Aptos" w:cs="Aptos"/>
        </w:rPr>
        <w:t>t</w:t>
      </w:r>
      <w:r w:rsidRPr="00C46C85">
        <w:rPr>
          <w:rFonts w:eastAsia="Aptos" w:cs="Aptos"/>
        </w:rPr>
        <w:t>owns.</w:t>
      </w:r>
    </w:p>
    <w:p w14:paraId="1FFD4BA9" w14:textId="67E721C6" w:rsidR="00216384" w:rsidRPr="00873367" w:rsidRDefault="00216384" w:rsidP="0051347F">
      <w:pPr>
        <w:pStyle w:val="Heading2"/>
      </w:pPr>
      <w:r>
        <w:t>8</w:t>
      </w:r>
      <w:r w:rsidR="0060471D">
        <w:t>.9</w:t>
      </w:r>
      <w:r>
        <w:t xml:space="preserve"> </w:t>
      </w:r>
      <w:r w:rsidRPr="00873367">
        <w:t>Lesson 8 – Diversity in land use is essential</w:t>
      </w:r>
    </w:p>
    <w:p w14:paraId="534C4C63" w14:textId="77777777" w:rsidR="00216384" w:rsidRDefault="00216384" w:rsidP="00216384">
      <w:pPr>
        <w:rPr>
          <w:rFonts w:eastAsia="Aptos" w:cs="Aptos"/>
        </w:rPr>
      </w:pPr>
      <w:r w:rsidRPr="00873367">
        <w:rPr>
          <w:rFonts w:eastAsia="Aptos" w:cs="Aptos"/>
        </w:rPr>
        <w:t xml:space="preserve">In Almere, Freiburg and Paris planners have aimed for a conscious mixing of land use. This in turn assists with the viability of non-car transport, unlike in Chandigarh where rigid zoning means that it is hard to easily access daily needs. </w:t>
      </w:r>
    </w:p>
    <w:p w14:paraId="311B626F" w14:textId="77777777" w:rsidR="00216384" w:rsidRDefault="00216384" w:rsidP="00216384">
      <w:pPr>
        <w:rPr>
          <w:rFonts w:eastAsia="Aptos" w:cs="Aptos"/>
        </w:rPr>
      </w:pPr>
      <w:r w:rsidRPr="00873367">
        <w:rPr>
          <w:rFonts w:eastAsia="Aptos" w:cs="Aptos"/>
        </w:rPr>
        <w:t xml:space="preserve">Space for food growing has been an important land use included in the mix, prominent again in Almere, Paris and Freiburg. Similarly, green and blue infrastructure has been planned in to these new towns and indeed Chandigarh, although some of the photographs of the latter also show the problems resulting from monumental provision of open space. There are multiple benefits from green and blue infrastructure, with urban cooling increasingly important – to that effect, green infrastructure has been retrofitted into some open spaces in Freiburg and this is a strength of the redesigns of the Parisian new towns. There has been a strong and consistent focus on blue-green space both in framing at a regional scale and internally within communities. </w:t>
      </w:r>
    </w:p>
    <w:p w14:paraId="6BE8B6B8" w14:textId="77777777" w:rsidR="00260258" w:rsidRDefault="00216384" w:rsidP="00216384">
      <w:pPr>
        <w:rPr>
          <w:rFonts w:eastAsia="Aptos" w:cs="Aptos"/>
        </w:rPr>
      </w:pPr>
      <w:r w:rsidRPr="00873367">
        <w:rPr>
          <w:rFonts w:eastAsia="Aptos" w:cs="Aptos"/>
        </w:rPr>
        <w:t xml:space="preserve">Renewable energy, often in the form of solar, plays a significant role in Almere, Freiburg and Daybreak, as a key part of both adapting to and mitigating climate </w:t>
      </w:r>
      <w:r w:rsidRPr="00873367">
        <w:rPr>
          <w:rFonts w:eastAsia="Aptos" w:cs="Aptos"/>
        </w:rPr>
        <w:lastRenderedPageBreak/>
        <w:t xml:space="preserve">change. Interestingly, in Freiburg, this is found more on self-build than conventional market-build homes. The scale of some of these interventions is not necessarily large – small urban gardens in Freiburg or </w:t>
      </w:r>
      <w:r>
        <w:rPr>
          <w:rFonts w:eastAsia="Aptos" w:cs="Aptos"/>
        </w:rPr>
        <w:t>‘</w:t>
      </w:r>
      <w:r w:rsidRPr="00873367">
        <w:rPr>
          <w:rFonts w:eastAsia="Aptos" w:cs="Aptos"/>
        </w:rPr>
        <w:t>urban acupunctures</w:t>
      </w:r>
      <w:r>
        <w:rPr>
          <w:rFonts w:eastAsia="Aptos" w:cs="Aptos"/>
        </w:rPr>
        <w:t>’</w:t>
      </w:r>
      <w:r w:rsidRPr="00873367">
        <w:rPr>
          <w:rFonts w:eastAsia="Aptos" w:cs="Aptos"/>
        </w:rPr>
        <w:t xml:space="preserve"> in Curitiba show that whilst large-scale coordination of development might be important, small interventions can be very powerful for improving quality of life.</w:t>
      </w:r>
    </w:p>
    <w:p w14:paraId="504E4F8F" w14:textId="77777777" w:rsidR="00260258" w:rsidRDefault="00260258" w:rsidP="00216384">
      <w:pPr>
        <w:rPr>
          <w:rFonts w:eastAsia="Aptos" w:cs="Aptos"/>
        </w:rPr>
      </w:pPr>
    </w:p>
    <w:p w14:paraId="63D022FD" w14:textId="05AB2616" w:rsidR="00260258" w:rsidRDefault="00226BEF" w:rsidP="00260258">
      <w:pPr>
        <w:pStyle w:val="Heading2"/>
        <w:sectPr w:rsidR="00260258" w:rsidSect="007821EB">
          <w:endnotePr>
            <w:numFmt w:val="decimal"/>
          </w:endnotePr>
          <w:pgSz w:w="11906" w:h="16838"/>
          <w:pgMar w:top="1440" w:right="1440" w:bottom="1440" w:left="1440" w:header="708" w:footer="741" w:gutter="0"/>
          <w:cols w:space="708"/>
          <w:docGrid w:linePitch="360"/>
        </w:sectPr>
      </w:pPr>
      <w:r>
        <w:t>8.</w:t>
      </w:r>
      <w:r w:rsidR="0060471D">
        <w:t>10</w:t>
      </w:r>
      <w:r>
        <w:t xml:space="preserve"> </w:t>
      </w:r>
      <w:r w:rsidR="00260258">
        <w:t>References</w:t>
      </w:r>
    </w:p>
    <w:p w14:paraId="34803956" w14:textId="6EDC1427" w:rsidR="007A21CB" w:rsidRPr="008254B0" w:rsidRDefault="007A21CB" w:rsidP="007A21CB">
      <w:pPr>
        <w:pStyle w:val="Heading1"/>
      </w:pPr>
      <w:bookmarkStart w:id="38" w:name="_Toc220349528"/>
      <w:bookmarkStart w:id="39" w:name="_Toc221626824"/>
      <w:r>
        <w:rPr>
          <w:rFonts w:eastAsia="Aptos"/>
        </w:rPr>
        <w:lastRenderedPageBreak/>
        <w:t xml:space="preserve">9. </w:t>
      </w:r>
      <w:r w:rsidRPr="00BA557A">
        <w:rPr>
          <w:rFonts w:eastAsia="Aptos"/>
        </w:rPr>
        <w:t>Conclusion and recommendations</w:t>
      </w:r>
      <w:bookmarkEnd w:id="38"/>
      <w:bookmarkEnd w:id="39"/>
    </w:p>
    <w:p w14:paraId="36246D5D" w14:textId="33C144C7" w:rsidR="007A21CB" w:rsidRPr="00AE1BB7" w:rsidRDefault="00D251F3" w:rsidP="007A21CB">
      <w:pPr>
        <w:pStyle w:val="Heading2"/>
      </w:pPr>
      <w:r>
        <w:rPr>
          <w:rFonts w:eastAsia="Aptos" w:cs="Aptos"/>
        </w:rPr>
        <w:t xml:space="preserve">9.1 </w:t>
      </w:r>
      <w:r w:rsidR="007A21CB">
        <w:rPr>
          <w:rFonts w:eastAsia="Aptos" w:cs="Aptos"/>
        </w:rPr>
        <w:t xml:space="preserve">Five high-level </w:t>
      </w:r>
      <w:r w:rsidR="007A21CB">
        <w:t>r</w:t>
      </w:r>
      <w:r w:rsidR="007A21CB" w:rsidRPr="00AE1BB7">
        <w:t>ecommendations for policy</w:t>
      </w:r>
      <w:r w:rsidR="007A21CB">
        <w:t xml:space="preserve"> </w:t>
      </w:r>
      <w:r w:rsidR="007A21CB" w:rsidRPr="00AE1BB7">
        <w:t>makers</w:t>
      </w:r>
      <w:r w:rsidR="007A21CB">
        <w:t xml:space="preserve"> on futureproofing the next generation of English new towns</w:t>
      </w:r>
    </w:p>
    <w:p w14:paraId="2E844973" w14:textId="77777777" w:rsidR="007A21CB" w:rsidRDefault="007A21CB" w:rsidP="007A21CB">
      <w:pPr>
        <w:spacing w:after="160"/>
      </w:pPr>
      <w:r w:rsidRPr="00C46C85">
        <w:t xml:space="preserve">This research project has been inspiring, involving visits and deep dives into a range of interesting places around the world. Some of the places are of international renown when it comes to successful planning and placemaking, others less so. </w:t>
      </w:r>
    </w:p>
    <w:p w14:paraId="24029141" w14:textId="77777777" w:rsidR="007A21CB" w:rsidRPr="00C46C85" w:rsidRDefault="007A21CB" w:rsidP="007A21CB">
      <w:pPr>
        <w:spacing w:after="160"/>
      </w:pPr>
      <w:r w:rsidRPr="00C46C85">
        <w:t xml:space="preserve">A very important finding is that it is possible to develop new towns that are commercially viable, politically supported, popular with residents, successful in the housing market, and highly liveable, sustainable and attractive. We also believe that </w:t>
      </w:r>
      <w:r w:rsidRPr="00C46C85">
        <w:rPr>
          <w:b/>
          <w:bCs/>
        </w:rPr>
        <w:t>the UK absolutely has the capacity to deliver places like this</w:t>
      </w:r>
      <w:r w:rsidRPr="00C46C85">
        <w:t xml:space="preserve">, indeed there are developments happening at present which share many of these characteristics, such as </w:t>
      </w:r>
      <w:hyperlink r:id="rId50" w:history="1">
        <w:proofErr w:type="spellStart"/>
        <w:r w:rsidRPr="00C46C85">
          <w:rPr>
            <w:rStyle w:val="Hyperlink"/>
          </w:rPr>
          <w:t>Nansledan</w:t>
        </w:r>
        <w:proofErr w:type="spellEnd"/>
      </w:hyperlink>
      <w:r w:rsidRPr="00C46C85">
        <w:t xml:space="preserve"> on the edge of Newquay and </w:t>
      </w:r>
      <w:hyperlink r:id="rId51" w:history="1">
        <w:proofErr w:type="spellStart"/>
        <w:r w:rsidRPr="00C46C85">
          <w:rPr>
            <w:rStyle w:val="Hyperlink"/>
          </w:rPr>
          <w:t>Chapelton</w:t>
        </w:r>
        <w:proofErr w:type="spellEnd"/>
      </w:hyperlink>
      <w:r w:rsidRPr="00C46C85">
        <w:t xml:space="preserve"> in Aberdeenshire.</w:t>
      </w:r>
    </w:p>
    <w:p w14:paraId="118B213D" w14:textId="77777777" w:rsidR="007A21CB" w:rsidRPr="00C46C85" w:rsidRDefault="007A21CB" w:rsidP="00260258">
      <w:r w:rsidRPr="00C46C85">
        <w:t xml:space="preserve">In order for such places to be the norm, and not the exception, and for the next generation of New Towns in </w:t>
      </w:r>
      <w:r>
        <w:t>England</w:t>
      </w:r>
      <w:r w:rsidRPr="00C46C85">
        <w:t xml:space="preserve"> to not be characterised by terms such as </w:t>
      </w:r>
      <w:r>
        <w:t>‘</w:t>
      </w:r>
      <w:r w:rsidRPr="00C46C85">
        <w:t>concrete</w:t>
      </w:r>
      <w:r>
        <w:t>’</w:t>
      </w:r>
      <w:r w:rsidRPr="00C46C85">
        <w:t xml:space="preserve">, </w:t>
      </w:r>
      <w:r>
        <w:t>‘</w:t>
      </w:r>
      <w:r w:rsidRPr="00C46C85">
        <w:t>boring</w:t>
      </w:r>
      <w:r>
        <w:t>’</w:t>
      </w:r>
      <w:r w:rsidRPr="00C46C85">
        <w:t xml:space="preserve">, and </w:t>
      </w:r>
      <w:r>
        <w:t>‘</w:t>
      </w:r>
      <w:r w:rsidRPr="00C46C85">
        <w:t>soulless</w:t>
      </w:r>
      <w:r>
        <w:t>’</w:t>
      </w:r>
      <w:r w:rsidRPr="00C46C85">
        <w:rPr>
          <w:vertAlign w:val="superscript"/>
        </w:rPr>
        <w:endnoteReference w:id="181"/>
      </w:r>
      <w:r w:rsidRPr="00C46C85">
        <w:t xml:space="preserve">, as their post-war ancestors have been, some </w:t>
      </w:r>
      <w:r>
        <w:t>high level</w:t>
      </w:r>
      <w:r w:rsidRPr="00C46C85">
        <w:t xml:space="preserve"> recommendations emerge from this project for UK</w:t>
      </w:r>
      <w:r>
        <w:t xml:space="preserve"> </w:t>
      </w:r>
      <w:r w:rsidRPr="00C46C85">
        <w:t>policy</w:t>
      </w:r>
      <w:r>
        <w:t xml:space="preserve"> </w:t>
      </w:r>
      <w:r w:rsidRPr="00C46C85">
        <w:t xml:space="preserve">makers. </w:t>
      </w:r>
      <w:r w:rsidRPr="008254B0">
        <w:t>Some are possible within existing legislation and policy, others may need change to the status quo</w:t>
      </w:r>
      <w:r w:rsidRPr="007D7BA8">
        <w:t>,</w:t>
      </w:r>
      <w:r w:rsidRPr="00C46C85">
        <w:t xml:space="preserve"> but our evidence shows that in other places which share many of the same challenges as the UK, they can and do work.</w:t>
      </w:r>
    </w:p>
    <w:p w14:paraId="2186E499" w14:textId="11E0BC03" w:rsidR="007A21CB" w:rsidRPr="00C46C85" w:rsidRDefault="007A21CB" w:rsidP="007A21CB">
      <w:pPr>
        <w:pStyle w:val="Heading2"/>
      </w:pPr>
      <w:r>
        <w:t>9.</w:t>
      </w:r>
      <w:r w:rsidR="00D251F3">
        <w:t>2</w:t>
      </w:r>
      <w:r>
        <w:t xml:space="preserve"> </w:t>
      </w:r>
      <w:r w:rsidRPr="00C46C85">
        <w:t>Recommendation 1</w:t>
      </w:r>
      <w:r>
        <w:t xml:space="preserve">: </w:t>
      </w:r>
      <w:r w:rsidRPr="00C46C85">
        <w:t xml:space="preserve">Ensure </w:t>
      </w:r>
      <w:r>
        <w:t xml:space="preserve">that </w:t>
      </w:r>
      <w:r w:rsidRPr="00C46C85">
        <w:t>planning policy</w:t>
      </w:r>
      <w:r>
        <w:t xml:space="preserve"> is consistent over time</w:t>
      </w:r>
    </w:p>
    <w:p w14:paraId="4EFC8757" w14:textId="77777777" w:rsidR="007A21CB" w:rsidRDefault="007A21CB" w:rsidP="007A21CB">
      <w:pPr>
        <w:spacing w:after="160"/>
      </w:pPr>
      <w:r>
        <w:t>Our</w:t>
      </w:r>
      <w:r w:rsidRPr="00C46C85">
        <w:t xml:space="preserve"> first, and perhaps most important recommendation</w:t>
      </w:r>
      <w:r>
        <w:t>,</w:t>
      </w:r>
      <w:r w:rsidRPr="00C46C85">
        <w:t xml:space="preserve"> is to ensure that </w:t>
      </w:r>
      <w:r>
        <w:t>planning policy for the new towns</w:t>
      </w:r>
      <w:r w:rsidRPr="00C46C85">
        <w:t xml:space="preserve"> is consistent. The places which are most successful, or where new towns have proven most effective or popular, are those where policies at the national (Almere and Freiburg), regional (Paris) and local (Freiburg and Curitiba) level have remained consistent over a sustained period of time. </w:t>
      </w:r>
    </w:p>
    <w:p w14:paraId="48E0F291" w14:textId="77777777" w:rsidR="007A21CB" w:rsidRPr="00C46C85" w:rsidRDefault="007A21CB" w:rsidP="00260258">
      <w:r w:rsidRPr="00C46C85">
        <w:t xml:space="preserve">This absolutely does not mean that policy must remain rigidly dogmatic, rather </w:t>
      </w:r>
      <w:proofErr w:type="spellStart"/>
      <w:r w:rsidRPr="00C46C85">
        <w:t>that</w:t>
      </w:r>
      <w:proofErr w:type="spellEnd"/>
      <w:r w:rsidRPr="00C46C85">
        <w:t xml:space="preserve"> common (and commonly agreed principles) guide decision-making over the longer term. </w:t>
      </w:r>
      <w:r w:rsidRPr="00C46C85">
        <w:rPr>
          <w:b/>
          <w:bCs/>
        </w:rPr>
        <w:t>We commend the broad consistency of NPPF policy in relation to place</w:t>
      </w:r>
      <w:r>
        <w:rPr>
          <w:b/>
          <w:bCs/>
        </w:rPr>
        <w:t xml:space="preserve"> </w:t>
      </w:r>
      <w:r w:rsidRPr="00C46C85">
        <w:rPr>
          <w:b/>
          <w:bCs/>
        </w:rPr>
        <w:lastRenderedPageBreak/>
        <w:t>making over recent years, and urge the UK Government to maintain this</w:t>
      </w:r>
      <w:r w:rsidRPr="008254B0">
        <w:t xml:space="preserve">, seeking cross-party consensus. </w:t>
      </w:r>
      <w:r w:rsidRPr="00C46C85">
        <w:t>Local policy</w:t>
      </w:r>
      <w:r>
        <w:t xml:space="preserve"> </w:t>
      </w:r>
      <w:r w:rsidRPr="00C46C85">
        <w:t xml:space="preserve">making can be at the mercy of local political change, so new town delivery could best be placed in the hands </w:t>
      </w:r>
      <w:r w:rsidRPr="00A1466C">
        <w:t xml:space="preserve">of </w:t>
      </w:r>
      <w:r w:rsidRPr="008254B0">
        <w:t xml:space="preserve">Development Corporations </w:t>
      </w:r>
      <w:r w:rsidRPr="00A1466C">
        <w:t>which may</w:t>
      </w:r>
      <w:r w:rsidRPr="00C46C85">
        <w:t xml:space="preserve"> be more able to ensure consistency of policy at the local level.</w:t>
      </w:r>
    </w:p>
    <w:p w14:paraId="78C675F8" w14:textId="75998465" w:rsidR="007A21CB" w:rsidRPr="00C46C85" w:rsidRDefault="007A21CB" w:rsidP="007A21CB">
      <w:pPr>
        <w:pStyle w:val="Heading2"/>
      </w:pPr>
      <w:r>
        <w:t>9.</w:t>
      </w:r>
      <w:r w:rsidR="00D251F3">
        <w:t>3</w:t>
      </w:r>
      <w:r>
        <w:t xml:space="preserve"> </w:t>
      </w:r>
      <w:r w:rsidRPr="00C46C85">
        <w:t>Recommendation 2</w:t>
      </w:r>
      <w:r>
        <w:t xml:space="preserve">: </w:t>
      </w:r>
      <w:r w:rsidRPr="00C46C85">
        <w:t>Harness the path</w:t>
      </w:r>
      <w:r>
        <w:t xml:space="preserve"> </w:t>
      </w:r>
      <w:r w:rsidRPr="00C46C85">
        <w:t>shaping powers of planning</w:t>
      </w:r>
      <w:r>
        <w:t>, but avoid path-dependency</w:t>
      </w:r>
    </w:p>
    <w:p w14:paraId="70A8AE5E" w14:textId="77777777" w:rsidR="007A21CB" w:rsidRDefault="007A21CB" w:rsidP="00260258">
      <w:r w:rsidRPr="00C46C85">
        <w:t xml:space="preserve">The contrast between Curitiba, </w:t>
      </w:r>
      <w:r w:rsidRPr="00443855">
        <w:t xml:space="preserve">where </w:t>
      </w:r>
      <w:r w:rsidRPr="008254B0">
        <w:t>principles</w:t>
      </w:r>
      <w:r w:rsidRPr="00443855">
        <w:t xml:space="preserve"> of</w:t>
      </w:r>
      <w:r w:rsidRPr="00C46C85">
        <w:t xml:space="preserve"> plan</w:t>
      </w:r>
      <w:r>
        <w:t xml:space="preserve"> </w:t>
      </w:r>
      <w:r w:rsidRPr="00C46C85">
        <w:t>making were maintained over the long-term</w:t>
      </w:r>
      <w:r>
        <w:t>,</w:t>
      </w:r>
      <w:r w:rsidRPr="00C46C85">
        <w:t xml:space="preserve"> and the UK’s post-war New Towns is instructive. The latter were built according to design blueprints that </w:t>
      </w:r>
      <w:r w:rsidRPr="00443855">
        <w:t xml:space="preserve">specified an </w:t>
      </w:r>
      <w:r w:rsidRPr="008254B0">
        <w:t>end</w:t>
      </w:r>
      <w:r>
        <w:t xml:space="preserve"> </w:t>
      </w:r>
      <w:r w:rsidRPr="008254B0">
        <w:t>state</w:t>
      </w:r>
      <w:r w:rsidRPr="00443855">
        <w:t>, with</w:t>
      </w:r>
      <w:r w:rsidRPr="00C46C85">
        <w:t xml:space="preserve"> the governance of their future development handed to local authorities without a plan for how they would grow according to their original principles</w:t>
      </w:r>
      <w:r w:rsidRPr="00C46C85">
        <w:rPr>
          <w:vertAlign w:val="superscript"/>
        </w:rPr>
        <w:endnoteReference w:id="182"/>
      </w:r>
      <w:r w:rsidRPr="00C46C85">
        <w:t xml:space="preserve">. </w:t>
      </w:r>
    </w:p>
    <w:p w14:paraId="12362EFB" w14:textId="77777777" w:rsidR="007A21CB" w:rsidRPr="00C46C85" w:rsidRDefault="007A21CB" w:rsidP="00260258">
      <w:r>
        <w:t>But a</w:t>
      </w:r>
      <w:r w:rsidRPr="00C46C85">
        <w:t xml:space="preserve">s we note in the Curitiba case study, what planning for new towns should do is to establish a trajectory – </w:t>
      </w:r>
      <w:r w:rsidRPr="008254B0">
        <w:rPr>
          <w:b/>
          <w:bCs/>
        </w:rPr>
        <w:t xml:space="preserve">the plan should be </w:t>
      </w:r>
      <w:r w:rsidRPr="00A1466C">
        <w:rPr>
          <w:b/>
          <w:bCs/>
        </w:rPr>
        <w:t>path-shaping</w:t>
      </w:r>
      <w:r w:rsidRPr="008254B0">
        <w:rPr>
          <w:b/>
          <w:bCs/>
        </w:rPr>
        <w:t xml:space="preserve">, but the next generation of New Towns must not be </w:t>
      </w:r>
      <w:r w:rsidRPr="00A1466C">
        <w:rPr>
          <w:b/>
          <w:bCs/>
        </w:rPr>
        <w:t>path-dependent.</w:t>
      </w:r>
      <w:r w:rsidRPr="00C46C85">
        <w:rPr>
          <w:b/>
          <w:bCs/>
        </w:rPr>
        <w:t xml:space="preserve"> </w:t>
      </w:r>
      <w:r w:rsidRPr="00C46C85">
        <w:t>This can be achieved throu</w:t>
      </w:r>
      <w:r w:rsidRPr="00A1466C">
        <w:t xml:space="preserve">gh the use of </w:t>
      </w:r>
      <w:r w:rsidRPr="008254B0">
        <w:t xml:space="preserve">a </w:t>
      </w:r>
      <w:proofErr w:type="spellStart"/>
      <w:r w:rsidRPr="008254B0">
        <w:t>masterplanning</w:t>
      </w:r>
      <w:proofErr w:type="spellEnd"/>
      <w:r w:rsidRPr="008254B0">
        <w:t xml:space="preserve"> approach</w:t>
      </w:r>
      <w:r w:rsidRPr="00A1466C">
        <w:t xml:space="preserve"> which clearly and firmly establishes</w:t>
      </w:r>
      <w:r w:rsidRPr="00C46C85">
        <w:t xml:space="preserve"> principles for the design and development of the new town, within which change can be accommodated as </w:t>
      </w:r>
      <w:r>
        <w:t>as-yet unforeseen c</w:t>
      </w:r>
      <w:r w:rsidRPr="00C46C85">
        <w:t>hallenges</w:t>
      </w:r>
      <w:r>
        <w:t xml:space="preserve"> </w:t>
      </w:r>
      <w:r w:rsidRPr="00C46C85">
        <w:t>emerge.</w:t>
      </w:r>
    </w:p>
    <w:p w14:paraId="43B51D23" w14:textId="1D791792" w:rsidR="007A21CB" w:rsidRPr="00C46C85" w:rsidRDefault="007A21CB" w:rsidP="007A21CB">
      <w:pPr>
        <w:pStyle w:val="Heading2"/>
      </w:pPr>
      <w:r>
        <w:t>9.</w:t>
      </w:r>
      <w:r w:rsidR="00D251F3">
        <w:t>4</w:t>
      </w:r>
      <w:r>
        <w:t xml:space="preserve"> </w:t>
      </w:r>
      <w:r w:rsidRPr="00C46C85">
        <w:t>Recommendation 3</w:t>
      </w:r>
      <w:r>
        <w:t>: Go beyond the plan – the importance of ‘urban management’ and s</w:t>
      </w:r>
      <w:r w:rsidRPr="00C46C85">
        <w:t>et</w:t>
      </w:r>
      <w:r>
        <w:t>ting</w:t>
      </w:r>
      <w:r w:rsidRPr="00C46C85">
        <w:t xml:space="preserve"> up partnerships for delivery</w:t>
      </w:r>
    </w:p>
    <w:p w14:paraId="162BAC46" w14:textId="77777777" w:rsidR="007A21CB" w:rsidRDefault="007A21CB" w:rsidP="00260258">
      <w:r>
        <w:t>The case studies make</w:t>
      </w:r>
      <w:r w:rsidRPr="00C46C85">
        <w:t xml:space="preserve"> the importance of</w:t>
      </w:r>
      <w:r w:rsidRPr="00A1466C">
        <w:t xml:space="preserve"> </w:t>
      </w:r>
      <w:r w:rsidRPr="008254B0">
        <w:t>partnerships</w:t>
      </w:r>
      <w:r w:rsidRPr="00C46C85">
        <w:t xml:space="preserve"> between tiers of government and between the public, private and third sectors</w:t>
      </w:r>
      <w:r>
        <w:t xml:space="preserve"> clear,</w:t>
      </w:r>
      <w:r w:rsidRPr="00C46C85">
        <w:t xml:space="preserve"> </w:t>
      </w:r>
      <w:r>
        <w:t>as well as the need</w:t>
      </w:r>
      <w:r w:rsidRPr="00C46C85">
        <w:t xml:space="preserve"> to proactively set up such partnerships. </w:t>
      </w:r>
    </w:p>
    <w:p w14:paraId="247CA3C4" w14:textId="77777777" w:rsidR="007A21CB" w:rsidRDefault="007A21CB" w:rsidP="00260258">
      <w:r w:rsidRPr="00C46C85">
        <w:t xml:space="preserve">The city-regional governance and </w:t>
      </w:r>
      <w:proofErr w:type="spellStart"/>
      <w:r w:rsidRPr="00C46C85">
        <w:t>masterplanning</w:t>
      </w:r>
      <w:proofErr w:type="spellEnd"/>
      <w:r w:rsidRPr="00C46C85">
        <w:t xml:space="preserve"> model in Paris has proven successful in integrating local plans into a regional approach, developing economic vibrancy and excellent transport connectivity at this scale. The new </w:t>
      </w:r>
      <w:r w:rsidRPr="008254B0">
        <w:t>Spatial Development Strategies</w:t>
      </w:r>
      <w:r w:rsidRPr="002D450E">
        <w:t xml:space="preserve"> which</w:t>
      </w:r>
      <w:r w:rsidRPr="00C46C85">
        <w:t xml:space="preserve"> are to form part of the statutory planning system in </w:t>
      </w:r>
      <w:r w:rsidRPr="00C46C85">
        <w:lastRenderedPageBreak/>
        <w:t xml:space="preserve">England may be an ideal vehicle for such integration, and to plan for </w:t>
      </w:r>
      <w:r>
        <w:t>n</w:t>
      </w:r>
      <w:r w:rsidRPr="00C46C85">
        <w:t xml:space="preserve">ew </w:t>
      </w:r>
      <w:r>
        <w:t>t</w:t>
      </w:r>
      <w:r w:rsidRPr="00C46C85">
        <w:t xml:space="preserve">owns in the strategic way which our case studies show to be important. </w:t>
      </w:r>
    </w:p>
    <w:p w14:paraId="177E8A1A" w14:textId="4989FFB3" w:rsidR="007A21CB" w:rsidRDefault="007A21CB" w:rsidP="007A21CB">
      <w:pPr>
        <w:pStyle w:val="Heading2"/>
      </w:pPr>
      <w:r>
        <w:t>9.</w:t>
      </w:r>
      <w:r w:rsidR="00D251F3">
        <w:t>5</w:t>
      </w:r>
      <w:r>
        <w:t xml:space="preserve"> </w:t>
      </w:r>
      <w:r w:rsidRPr="008254B0">
        <w:t>Stakeholders beyond the public sector must also be included, in pursuit of what we have referred to as ‘urban management’.</w:t>
      </w:r>
    </w:p>
    <w:p w14:paraId="5CA361BB" w14:textId="06D43EEC" w:rsidR="007A21CB" w:rsidRPr="00C46C85" w:rsidRDefault="007A21CB" w:rsidP="00260258">
      <w:r>
        <w:t>By this we refer to the fact that</w:t>
      </w:r>
      <w:r w:rsidRPr="00C46C85">
        <w:t xml:space="preserve"> successful planning</w:t>
      </w:r>
      <w:r>
        <w:t xml:space="preserve"> often</w:t>
      </w:r>
      <w:r w:rsidRPr="00C46C85">
        <w:t xml:space="preserve"> </w:t>
      </w:r>
      <w:r>
        <w:t>goes</w:t>
      </w:r>
      <w:r w:rsidRPr="00C46C85">
        <w:t xml:space="preserve"> beyond the plan itself, and consider other aspects of implementation. The success of experimental approaches to planning for housing and transport in Freiburg shows how important it is to bring residents of </w:t>
      </w:r>
      <w:r>
        <w:t>n</w:t>
      </w:r>
      <w:r w:rsidRPr="00C46C85">
        <w:t xml:space="preserve">ew </w:t>
      </w:r>
      <w:r>
        <w:t>t</w:t>
      </w:r>
      <w:r w:rsidRPr="00C46C85">
        <w:t>owns along on the planning journey.</w:t>
      </w:r>
    </w:p>
    <w:p w14:paraId="02E92060" w14:textId="4E2350B1" w:rsidR="007A21CB" w:rsidRPr="00C46C85" w:rsidRDefault="007A21CB" w:rsidP="007A21CB">
      <w:pPr>
        <w:pStyle w:val="Heading2"/>
      </w:pPr>
      <w:r>
        <w:t>9.</w:t>
      </w:r>
      <w:r w:rsidR="00D251F3">
        <w:t>6</w:t>
      </w:r>
      <w:r>
        <w:t xml:space="preserve"> </w:t>
      </w:r>
      <w:r w:rsidRPr="00C46C85">
        <w:t>Recommendation 4</w:t>
      </w:r>
      <w:r>
        <w:t xml:space="preserve">: </w:t>
      </w:r>
      <w:r w:rsidRPr="00C46C85">
        <w:t>Transport and land</w:t>
      </w:r>
      <w:r>
        <w:t xml:space="preserve"> </w:t>
      </w:r>
      <w:r w:rsidRPr="00C46C85">
        <w:t>use planning must be integrated</w:t>
      </w:r>
    </w:p>
    <w:p w14:paraId="448BA365" w14:textId="77777777" w:rsidR="007A21CB" w:rsidRDefault="007A21CB" w:rsidP="00260258">
      <w:r w:rsidRPr="00C46C85">
        <w:t>The most successful of the new towns studied have been planned around public transport, at scales from the local to the regional. There are strong and well-established justifications for supporting alternatives to the private car, and planning has an important role to play in this.</w:t>
      </w:r>
    </w:p>
    <w:p w14:paraId="3C082D17" w14:textId="77777777" w:rsidR="007A21CB" w:rsidRPr="00C46C85" w:rsidRDefault="007A21CB" w:rsidP="00260258">
      <w:r w:rsidRPr="00C46C85">
        <w:t xml:space="preserve">At the (sub-)regional scale, </w:t>
      </w:r>
      <w:r w:rsidRPr="008254B0">
        <w:t>new towns must be in locations which can easily be connected to strategic transport routes</w:t>
      </w:r>
      <w:r w:rsidRPr="00387052">
        <w:t>. At the</w:t>
      </w:r>
      <w:r w:rsidRPr="00C46C85">
        <w:t xml:space="preserve"> local scale, </w:t>
      </w:r>
      <w:r w:rsidRPr="00C46C85">
        <w:rPr>
          <w:b/>
          <w:bCs/>
        </w:rPr>
        <w:t>ensuring that homes are within easy walking distance of buses, trams or trains is essential</w:t>
      </w:r>
      <w:r w:rsidRPr="00C46C85">
        <w:t>.</w:t>
      </w:r>
    </w:p>
    <w:p w14:paraId="20B69C35" w14:textId="6B2DB4F9" w:rsidR="007A21CB" w:rsidRPr="00C46C85" w:rsidRDefault="007A21CB" w:rsidP="007A21CB">
      <w:pPr>
        <w:pStyle w:val="Heading2"/>
      </w:pPr>
      <w:r>
        <w:t>9.</w:t>
      </w:r>
      <w:r w:rsidR="00D251F3">
        <w:t xml:space="preserve">7 </w:t>
      </w:r>
      <w:r w:rsidRPr="00C46C85">
        <w:t>Recommendation 5</w:t>
      </w:r>
      <w:r>
        <w:t xml:space="preserve">: </w:t>
      </w:r>
      <w:r w:rsidRPr="00C46C85">
        <w:t>Mixed land uses and tenures lead to better outcomes</w:t>
      </w:r>
      <w:r>
        <w:t>, and supporting community-led models of development can build support</w:t>
      </w:r>
    </w:p>
    <w:p w14:paraId="1893505C" w14:textId="77777777" w:rsidR="007A21CB" w:rsidRDefault="007A21CB" w:rsidP="00260258">
      <w:r w:rsidRPr="00C46C85">
        <w:t>A common criticism of the post-war UK new towns is that they were monofunctional and dominated by social housing. They were of course built at a different time, with different norms and assumptions underpinning them. We can with confidence today say that integrating a mix of land uses, and offering opportunities for people to live in a range of tenures, builds stronger, healthier and more sustainable communities.</w:t>
      </w:r>
    </w:p>
    <w:p w14:paraId="667E8840" w14:textId="77777777" w:rsidR="007A21CB" w:rsidRDefault="007A21CB" w:rsidP="00260258">
      <w:r w:rsidRPr="00C46C85">
        <w:t xml:space="preserve">Evidence from places such as Freiburg is that </w:t>
      </w:r>
      <w:r w:rsidRPr="00260258">
        <w:rPr>
          <w:b/>
          <w:bCs/>
        </w:rPr>
        <w:t>community self-build, which plays a very small role in the UK housing market, results in higher quality and more energy efficient development.</w:t>
      </w:r>
      <w:r w:rsidRPr="00C46C85">
        <w:t xml:space="preserve"> It also </w:t>
      </w:r>
      <w:r w:rsidRPr="002E4FEC">
        <w:t xml:space="preserve">brings </w:t>
      </w:r>
      <w:r w:rsidRPr="008254B0">
        <w:t xml:space="preserve">greater community buy-in to new </w:t>
      </w:r>
      <w:r w:rsidRPr="008254B0">
        <w:lastRenderedPageBreak/>
        <w:t>towns, something which will be essential to overcome local opposition</w:t>
      </w:r>
      <w:r w:rsidRPr="002E4FEC">
        <w:t>. New</w:t>
      </w:r>
      <w:r w:rsidRPr="00C46C85">
        <w:t xml:space="preserve"> town delivery bodies, whether development corporations or otherwise, should include a proportion of this tenure in masterplans, and mixed use should also be a foundational starting point.</w:t>
      </w:r>
    </w:p>
    <w:p w14:paraId="02B97B56" w14:textId="5384AD2A" w:rsidR="006D1AD3" w:rsidRPr="00260258" w:rsidRDefault="007A21CB" w:rsidP="00260258">
      <w:pPr>
        <w:pStyle w:val="Heading2"/>
      </w:pPr>
      <w:r>
        <w:t>9.</w:t>
      </w:r>
      <w:r w:rsidR="004C459D">
        <w:t>8</w:t>
      </w:r>
      <w:r>
        <w:t xml:space="preserve"> References</w:t>
      </w:r>
    </w:p>
    <w:sectPr w:rsidR="006D1AD3" w:rsidRPr="00260258" w:rsidSect="007821EB">
      <w:endnotePr>
        <w:numFmt w:val="decimal"/>
      </w:endnotePr>
      <w:pgSz w:w="11906" w:h="16838"/>
      <w:pgMar w:top="1440" w:right="1440" w:bottom="1440" w:left="1440" w:header="708"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DA27D" w14:textId="77777777" w:rsidR="00DE4BC4" w:rsidRPr="00CC6E5F" w:rsidRDefault="00DE4BC4" w:rsidP="0034174F">
      <w:pPr>
        <w:spacing w:after="0" w:line="240" w:lineRule="auto"/>
      </w:pPr>
      <w:r w:rsidRPr="00CC6E5F">
        <w:separator/>
      </w:r>
    </w:p>
  </w:endnote>
  <w:endnote w:type="continuationSeparator" w:id="0">
    <w:p w14:paraId="1CD2C731" w14:textId="77777777" w:rsidR="00DE4BC4" w:rsidRPr="00CC6E5F" w:rsidRDefault="00DE4BC4" w:rsidP="0034174F">
      <w:pPr>
        <w:spacing w:after="0" w:line="240" w:lineRule="auto"/>
      </w:pPr>
      <w:r w:rsidRPr="00CC6E5F">
        <w:continuationSeparator/>
      </w:r>
    </w:p>
  </w:endnote>
  <w:endnote w:type="continuationNotice" w:id="1">
    <w:p w14:paraId="255611D8" w14:textId="77777777" w:rsidR="00DE4BC4" w:rsidRPr="00CC6E5F" w:rsidRDefault="00DE4BC4">
      <w:pPr>
        <w:spacing w:after="0" w:line="240" w:lineRule="auto"/>
      </w:pPr>
    </w:p>
  </w:endnote>
  <w:endnote w:id="2">
    <w:p w14:paraId="2740188F" w14:textId="608CFD88" w:rsidR="00E736E0" w:rsidRDefault="00E736E0">
      <w:pPr>
        <w:pStyle w:val="EndnoteText"/>
      </w:pPr>
      <w:r>
        <w:rPr>
          <w:rStyle w:val="EndnoteReference"/>
        </w:rPr>
        <w:endnoteRef/>
      </w:r>
      <w:r>
        <w:t xml:space="preserve"> </w:t>
      </w:r>
      <w:r w:rsidRPr="008F6502">
        <w:t xml:space="preserve">New Towns </w:t>
      </w:r>
      <w:r w:rsidRPr="0082758A">
        <w:t xml:space="preserve">Taskforce, </w:t>
      </w:r>
      <w:r w:rsidRPr="0082758A">
        <w:rPr>
          <w:rStyle w:val="A10"/>
          <w:sz w:val="20"/>
          <w:szCs w:val="20"/>
        </w:rPr>
        <w:t>‘Report to government’</w:t>
      </w:r>
      <w:r w:rsidRPr="0082758A">
        <w:rPr>
          <w:u w:val="single"/>
        </w:rPr>
        <w:t xml:space="preserve">, </w:t>
      </w:r>
      <w:r w:rsidRPr="0082758A">
        <w:rPr>
          <w:i/>
          <w:iCs/>
        </w:rPr>
        <w:t>Ministry</w:t>
      </w:r>
      <w:r w:rsidRPr="008F6502">
        <w:rPr>
          <w:i/>
          <w:iCs/>
        </w:rPr>
        <w:t xml:space="preserve"> of Housing, Communities &amp; Local Government </w:t>
      </w:r>
      <w:r w:rsidRPr="008F6502">
        <w:t>(2025) [accessed on 06/10/2025].</w:t>
      </w:r>
    </w:p>
  </w:endnote>
  <w:endnote w:id="3">
    <w:p w14:paraId="5B6F23BD" w14:textId="378A37F2" w:rsidR="00E736E0" w:rsidRDefault="00E736E0">
      <w:pPr>
        <w:pStyle w:val="EndnoteText"/>
      </w:pPr>
      <w:r>
        <w:rPr>
          <w:rStyle w:val="EndnoteReference"/>
        </w:rPr>
        <w:endnoteRef/>
      </w:r>
      <w:r>
        <w:t xml:space="preserve"> </w:t>
      </w:r>
      <w:r w:rsidRPr="008F6502">
        <w:rPr>
          <w:rStyle w:val="A10"/>
          <w:sz w:val="20"/>
          <w:szCs w:val="20"/>
        </w:rPr>
        <w:t>Expert taskforce to be at the forefront of new towns vision – MHCLG in the Media</w:t>
      </w:r>
    </w:p>
  </w:endnote>
  <w:endnote w:id="4">
    <w:p w14:paraId="545CD20A" w14:textId="390BA360" w:rsidR="00E736E0" w:rsidRDefault="00E736E0">
      <w:pPr>
        <w:pStyle w:val="EndnoteText"/>
      </w:pPr>
      <w:r>
        <w:rPr>
          <w:rStyle w:val="EndnoteReference"/>
        </w:rPr>
        <w:endnoteRef/>
      </w:r>
      <w:r>
        <w:t xml:space="preserve"> </w:t>
      </w:r>
      <w:r w:rsidRPr="008F6502">
        <w:rPr>
          <w:rStyle w:val="A10"/>
          <w:sz w:val="20"/>
          <w:szCs w:val="20"/>
        </w:rPr>
        <w:t>https://www.tcpa.org.uk/areas-of-work/new-towns/</w:t>
      </w:r>
    </w:p>
  </w:endnote>
  <w:endnote w:id="5">
    <w:p w14:paraId="2BD55632" w14:textId="77777777" w:rsidR="00156532" w:rsidRPr="008254B0" w:rsidRDefault="00156532" w:rsidP="00156532">
      <w:pPr>
        <w:pStyle w:val="EndnoteText"/>
        <w:spacing w:beforeLines="120" w:before="288" w:afterLines="120" w:after="288" w:line="276" w:lineRule="auto"/>
        <w:rPr>
          <w:sz w:val="22"/>
          <w:szCs w:val="22"/>
        </w:rPr>
      </w:pPr>
      <w:r w:rsidRPr="008254B0">
        <w:rPr>
          <w:rStyle w:val="EndnoteReference"/>
          <w:sz w:val="22"/>
          <w:szCs w:val="22"/>
        </w:rPr>
        <w:endnoteRef/>
      </w:r>
      <w:r w:rsidRPr="008254B0">
        <w:rPr>
          <w:sz w:val="22"/>
          <w:szCs w:val="22"/>
        </w:rPr>
        <w:t xml:space="preserve"> New Towns Taskforce, ‘</w:t>
      </w:r>
      <w:hyperlink r:id="rId1" w:history="1">
        <w:r w:rsidRPr="008254B0">
          <w:rPr>
            <w:rStyle w:val="Hyperlink"/>
            <w:sz w:val="22"/>
            <w:szCs w:val="22"/>
          </w:rPr>
          <w:t>Report to government</w:t>
        </w:r>
      </w:hyperlink>
      <w:r w:rsidRPr="008254B0">
        <w:rPr>
          <w:sz w:val="22"/>
          <w:szCs w:val="22"/>
        </w:rPr>
        <w:t xml:space="preserve">’, </w:t>
      </w:r>
      <w:r w:rsidRPr="008254B0">
        <w:rPr>
          <w:i/>
          <w:iCs/>
          <w:sz w:val="22"/>
          <w:szCs w:val="22"/>
        </w:rPr>
        <w:t>Ministry of Housing, Communities &amp; Local Government</w:t>
      </w:r>
      <w:r w:rsidRPr="008254B0">
        <w:rPr>
          <w:sz w:val="22"/>
          <w:szCs w:val="22"/>
        </w:rPr>
        <w:t xml:space="preserve"> (2025) [accessed on 06/10/2025]</w:t>
      </w:r>
    </w:p>
  </w:endnote>
  <w:endnote w:id="6">
    <w:p w14:paraId="32588200" w14:textId="77777777" w:rsidR="00156532" w:rsidRPr="009A6510" w:rsidRDefault="00156532" w:rsidP="00156532">
      <w:pPr>
        <w:pStyle w:val="EndnoteText"/>
        <w:spacing w:beforeLines="120" w:before="288" w:afterLines="120" w:after="288" w:line="276" w:lineRule="auto"/>
        <w:rPr>
          <w:rFonts w:asciiTheme="minorHAnsi" w:hAnsiTheme="minorHAnsi" w:cs="Arial"/>
          <w:sz w:val="22"/>
          <w:szCs w:val="22"/>
        </w:rPr>
      </w:pPr>
      <w:r w:rsidRPr="009A6510">
        <w:rPr>
          <w:rStyle w:val="EndnoteReference"/>
          <w:rFonts w:asciiTheme="minorHAnsi" w:hAnsiTheme="minorHAnsi" w:cs="Arial"/>
          <w:sz w:val="22"/>
          <w:szCs w:val="22"/>
        </w:rPr>
        <w:endnoteRef/>
      </w:r>
      <w:r w:rsidRPr="009A6510">
        <w:rPr>
          <w:rFonts w:asciiTheme="minorHAnsi" w:hAnsiTheme="minorHAnsi" w:cs="Arial"/>
          <w:sz w:val="22"/>
          <w:szCs w:val="22"/>
        </w:rPr>
        <w:t xml:space="preserve"> UN-Habitat, ‘</w:t>
      </w:r>
      <w:hyperlink r:id="rId2" w:history="1">
        <w:r w:rsidRPr="009A6510">
          <w:rPr>
            <w:rStyle w:val="Hyperlink"/>
            <w:rFonts w:asciiTheme="minorHAnsi" w:hAnsiTheme="minorHAnsi" w:cs="Arial"/>
            <w:sz w:val="22"/>
            <w:szCs w:val="22"/>
          </w:rPr>
          <w:t>The first session of the open-ended Intergovernmental Expert Working Group on Adequate Housing for All’</w:t>
        </w:r>
      </w:hyperlink>
      <w:r w:rsidRPr="009A6510">
        <w:rPr>
          <w:rFonts w:asciiTheme="minorHAnsi" w:hAnsiTheme="minorHAnsi" w:cs="Arial"/>
          <w:sz w:val="22"/>
          <w:szCs w:val="22"/>
        </w:rPr>
        <w:t xml:space="preserve">, </w:t>
      </w:r>
      <w:r w:rsidRPr="009A6510">
        <w:rPr>
          <w:rFonts w:asciiTheme="minorHAnsi" w:hAnsiTheme="minorHAnsi" w:cs="Arial"/>
          <w:i/>
          <w:iCs/>
          <w:sz w:val="22"/>
          <w:szCs w:val="22"/>
        </w:rPr>
        <w:t>United Nations</w:t>
      </w:r>
      <w:r w:rsidRPr="009A6510">
        <w:rPr>
          <w:rFonts w:asciiTheme="minorHAnsi" w:hAnsiTheme="minorHAnsi" w:cs="Arial"/>
          <w:sz w:val="22"/>
          <w:szCs w:val="22"/>
        </w:rPr>
        <w:t xml:space="preserve"> (2024) </w:t>
      </w:r>
      <w:r w:rsidRPr="009A6510">
        <w:rPr>
          <w:sz w:val="22"/>
          <w:szCs w:val="22"/>
        </w:rPr>
        <w:t>[</w:t>
      </w:r>
      <w:r w:rsidRPr="009A6510">
        <w:rPr>
          <w:rFonts w:asciiTheme="minorHAnsi" w:hAnsiTheme="minorHAnsi" w:cs="Arial"/>
          <w:sz w:val="22"/>
          <w:szCs w:val="22"/>
        </w:rPr>
        <w:t>accessed on 16/07/2025]</w:t>
      </w:r>
    </w:p>
  </w:endnote>
  <w:endnote w:id="7">
    <w:p w14:paraId="087FF892" w14:textId="77777777" w:rsidR="00156532" w:rsidRPr="008254B0" w:rsidRDefault="00156532" w:rsidP="00156532">
      <w:pPr>
        <w:pStyle w:val="EndnoteText"/>
        <w:spacing w:beforeLines="120" w:before="288" w:afterLines="120" w:after="288" w:line="276" w:lineRule="auto"/>
        <w:rPr>
          <w:rFonts w:asciiTheme="minorHAnsi" w:hAnsiTheme="minorHAnsi" w:cs="Arial"/>
          <w:sz w:val="22"/>
          <w:szCs w:val="22"/>
        </w:rPr>
      </w:pPr>
      <w:r w:rsidRPr="008254B0">
        <w:rPr>
          <w:rStyle w:val="EndnoteReference"/>
          <w:rFonts w:asciiTheme="minorHAnsi" w:hAnsiTheme="minorHAnsi" w:cs="Arial"/>
          <w:sz w:val="22"/>
          <w:szCs w:val="22"/>
        </w:rPr>
        <w:endnoteRef/>
      </w:r>
      <w:r w:rsidRPr="008254B0">
        <w:rPr>
          <w:rFonts w:asciiTheme="minorHAnsi" w:hAnsiTheme="minorHAnsi" w:cs="Arial"/>
          <w:sz w:val="22"/>
          <w:szCs w:val="22"/>
        </w:rPr>
        <w:t xml:space="preserve"> UN-Habitat, ‘</w:t>
      </w:r>
      <w:hyperlink r:id="rId3" w:history="1">
        <w:r w:rsidRPr="008254B0">
          <w:rPr>
            <w:rStyle w:val="Hyperlink"/>
            <w:rFonts w:asciiTheme="minorHAnsi" w:hAnsiTheme="minorHAnsi" w:cs="Arial"/>
            <w:sz w:val="22"/>
            <w:szCs w:val="22"/>
          </w:rPr>
          <w:t>State efforts to progressively realize adequate housing for all</w:t>
        </w:r>
      </w:hyperlink>
      <w:r w:rsidRPr="008254B0">
        <w:rPr>
          <w:rFonts w:asciiTheme="minorHAnsi" w:hAnsiTheme="minorHAnsi" w:cs="Arial"/>
          <w:sz w:val="22"/>
          <w:szCs w:val="22"/>
        </w:rPr>
        <w:t xml:space="preserve">’, </w:t>
      </w:r>
      <w:r w:rsidRPr="008254B0">
        <w:rPr>
          <w:rFonts w:asciiTheme="minorHAnsi" w:hAnsiTheme="minorHAnsi" w:cs="Arial"/>
          <w:i/>
          <w:iCs/>
          <w:sz w:val="22"/>
          <w:szCs w:val="22"/>
        </w:rPr>
        <w:t>United Nations</w:t>
      </w:r>
      <w:r w:rsidRPr="008254B0">
        <w:rPr>
          <w:rFonts w:asciiTheme="minorHAnsi" w:hAnsiTheme="minorHAnsi" w:cs="Arial"/>
          <w:sz w:val="22"/>
          <w:szCs w:val="22"/>
        </w:rPr>
        <w:t xml:space="preserve"> (2024) [accessed on 30/07/2025]</w:t>
      </w:r>
    </w:p>
  </w:endnote>
  <w:endnote w:id="8">
    <w:p w14:paraId="306F9FDA" w14:textId="77777777" w:rsidR="00156532" w:rsidRPr="008254B0" w:rsidRDefault="00156532" w:rsidP="00156532">
      <w:pPr>
        <w:pStyle w:val="EndnoteText"/>
        <w:spacing w:beforeLines="120" w:before="288" w:afterLines="120" w:after="288" w:line="276" w:lineRule="auto"/>
        <w:contextualSpacing/>
        <w:rPr>
          <w:rFonts w:asciiTheme="minorHAnsi" w:hAnsiTheme="minorHAnsi"/>
          <w:sz w:val="22"/>
          <w:szCs w:val="22"/>
        </w:rPr>
      </w:pPr>
      <w:r w:rsidRPr="008254B0">
        <w:rPr>
          <w:rStyle w:val="EndnoteReference"/>
          <w:rFonts w:asciiTheme="minorHAnsi" w:hAnsiTheme="minorHAnsi"/>
          <w:sz w:val="22"/>
          <w:szCs w:val="22"/>
        </w:rPr>
        <w:endnoteRef/>
      </w:r>
      <w:r w:rsidRPr="008254B0">
        <w:rPr>
          <w:rFonts w:asciiTheme="minorHAnsi" w:hAnsiTheme="minorHAnsi"/>
          <w:sz w:val="22"/>
          <w:szCs w:val="22"/>
        </w:rPr>
        <w:t xml:space="preserve"> For example:</w:t>
      </w:r>
    </w:p>
    <w:p w14:paraId="45544B7B" w14:textId="77777777" w:rsidR="00156532" w:rsidRPr="008254B0" w:rsidRDefault="00156532" w:rsidP="00156532">
      <w:pPr>
        <w:pStyle w:val="EndnoteText"/>
        <w:numPr>
          <w:ilvl w:val="0"/>
          <w:numId w:val="30"/>
        </w:numPr>
        <w:spacing w:beforeLines="120" w:before="288" w:afterLines="120" w:after="288" w:line="276" w:lineRule="auto"/>
        <w:ind w:left="714" w:hanging="357"/>
        <w:contextualSpacing/>
        <w:rPr>
          <w:rFonts w:asciiTheme="minorHAnsi" w:hAnsiTheme="minorHAnsi"/>
          <w:sz w:val="22"/>
          <w:szCs w:val="22"/>
        </w:rPr>
      </w:pPr>
      <w:r w:rsidRPr="008254B0">
        <w:rPr>
          <w:rFonts w:asciiTheme="minorHAnsi" w:hAnsiTheme="minorHAnsi"/>
          <w:sz w:val="22"/>
          <w:szCs w:val="22"/>
        </w:rPr>
        <w:t xml:space="preserve">Anthony Alexander, </w:t>
      </w:r>
      <w:r w:rsidRPr="008254B0">
        <w:rPr>
          <w:rFonts w:asciiTheme="minorHAnsi" w:hAnsiTheme="minorHAnsi"/>
          <w:i/>
          <w:iCs/>
          <w:sz w:val="22"/>
          <w:szCs w:val="22"/>
        </w:rPr>
        <w:t>Britain’s New Towns: Garden Cities to Sustainable Communities</w:t>
      </w:r>
      <w:r w:rsidRPr="008254B0">
        <w:rPr>
          <w:rFonts w:asciiTheme="minorHAnsi" w:hAnsiTheme="minorHAnsi"/>
          <w:sz w:val="22"/>
          <w:szCs w:val="22"/>
        </w:rPr>
        <w:t xml:space="preserve"> (Abingdon, Routledge, 2009);</w:t>
      </w:r>
    </w:p>
    <w:p w14:paraId="4DE08CFE" w14:textId="77777777" w:rsidR="00156532" w:rsidRPr="008254B0" w:rsidRDefault="00156532" w:rsidP="00156532">
      <w:pPr>
        <w:pStyle w:val="EndnoteText"/>
        <w:numPr>
          <w:ilvl w:val="0"/>
          <w:numId w:val="30"/>
        </w:numPr>
        <w:spacing w:beforeLines="120" w:before="288" w:afterLines="120" w:after="288" w:line="276" w:lineRule="auto"/>
        <w:ind w:left="714" w:hanging="357"/>
        <w:contextualSpacing/>
        <w:rPr>
          <w:rFonts w:asciiTheme="minorHAnsi" w:hAnsiTheme="minorHAnsi"/>
          <w:sz w:val="22"/>
          <w:szCs w:val="22"/>
        </w:rPr>
      </w:pPr>
      <w:r w:rsidRPr="008254B0">
        <w:rPr>
          <w:rFonts w:asciiTheme="minorHAnsi" w:hAnsiTheme="minorHAnsi"/>
          <w:sz w:val="22"/>
          <w:szCs w:val="22"/>
        </w:rPr>
        <w:t xml:space="preserve">John Boughton, </w:t>
      </w:r>
      <w:r w:rsidRPr="008254B0">
        <w:rPr>
          <w:rFonts w:asciiTheme="minorHAnsi" w:hAnsiTheme="minorHAnsi"/>
          <w:i/>
          <w:iCs/>
          <w:sz w:val="22"/>
          <w:szCs w:val="22"/>
        </w:rPr>
        <w:t>Municipal Dreams: The Rise and Fall of Council Housing</w:t>
      </w:r>
      <w:r w:rsidRPr="008254B0">
        <w:rPr>
          <w:rFonts w:asciiTheme="minorHAnsi" w:hAnsiTheme="minorHAnsi"/>
          <w:sz w:val="22"/>
          <w:szCs w:val="22"/>
        </w:rPr>
        <w:t xml:space="preserve"> (London, Verso, 2019);</w:t>
      </w:r>
    </w:p>
    <w:p w14:paraId="3A8DC7E9" w14:textId="77777777" w:rsidR="00156532" w:rsidRPr="008254B0" w:rsidRDefault="00156532" w:rsidP="00156532">
      <w:pPr>
        <w:pStyle w:val="EndnoteText"/>
        <w:numPr>
          <w:ilvl w:val="0"/>
          <w:numId w:val="30"/>
        </w:numPr>
        <w:spacing w:beforeLines="120" w:before="288" w:afterLines="120" w:after="288" w:line="276" w:lineRule="auto"/>
        <w:ind w:left="714" w:hanging="357"/>
        <w:contextualSpacing/>
        <w:rPr>
          <w:rFonts w:asciiTheme="minorHAnsi" w:hAnsiTheme="minorHAnsi"/>
          <w:sz w:val="22"/>
          <w:szCs w:val="22"/>
        </w:rPr>
      </w:pPr>
      <w:r w:rsidRPr="008254B0">
        <w:rPr>
          <w:rFonts w:asciiTheme="minorHAnsi" w:hAnsiTheme="minorHAnsi"/>
          <w:sz w:val="22"/>
          <w:szCs w:val="22"/>
        </w:rPr>
        <w:t xml:space="preserve">Jane Hobson, </w:t>
      </w:r>
      <w:r w:rsidRPr="008254B0">
        <w:rPr>
          <w:rFonts w:asciiTheme="minorHAnsi" w:hAnsiTheme="minorHAnsi"/>
          <w:i/>
          <w:iCs/>
          <w:sz w:val="22"/>
          <w:szCs w:val="22"/>
        </w:rPr>
        <w:t>New Towns, the Modernist Planning Project and Social Justice</w:t>
      </w:r>
      <w:r w:rsidRPr="008254B0">
        <w:rPr>
          <w:rFonts w:asciiTheme="minorHAnsi" w:hAnsiTheme="minorHAnsi"/>
          <w:sz w:val="22"/>
          <w:szCs w:val="22"/>
        </w:rPr>
        <w:t xml:space="preserve"> (London, The Bartlett Development Planning Unit, University College London, 1999);</w:t>
      </w:r>
    </w:p>
    <w:p w14:paraId="6C3B151A" w14:textId="77777777" w:rsidR="00156532" w:rsidRPr="008254B0" w:rsidRDefault="00156532" w:rsidP="00156532">
      <w:pPr>
        <w:pStyle w:val="EndnoteText"/>
        <w:numPr>
          <w:ilvl w:val="0"/>
          <w:numId w:val="30"/>
        </w:numPr>
        <w:spacing w:beforeLines="120" w:before="288" w:afterLines="120" w:after="288" w:line="276" w:lineRule="auto"/>
        <w:ind w:left="714" w:hanging="357"/>
        <w:contextualSpacing/>
        <w:rPr>
          <w:rFonts w:asciiTheme="minorHAnsi" w:hAnsiTheme="minorHAnsi"/>
          <w:sz w:val="22"/>
          <w:szCs w:val="22"/>
        </w:rPr>
      </w:pPr>
      <w:r w:rsidRPr="008254B0">
        <w:rPr>
          <w:rFonts w:asciiTheme="minorHAnsi" w:hAnsiTheme="minorHAnsi"/>
          <w:sz w:val="22"/>
          <w:szCs w:val="22"/>
        </w:rPr>
        <w:t xml:space="preserve">Rosemary Wakeman, </w:t>
      </w:r>
      <w:r w:rsidRPr="008254B0">
        <w:rPr>
          <w:rFonts w:asciiTheme="minorHAnsi" w:hAnsiTheme="minorHAnsi"/>
          <w:i/>
          <w:iCs/>
          <w:sz w:val="22"/>
          <w:szCs w:val="22"/>
        </w:rPr>
        <w:t>Practicing Utopia: An Intellectual History of the New Town Movement</w:t>
      </w:r>
      <w:r w:rsidRPr="008254B0">
        <w:rPr>
          <w:rFonts w:asciiTheme="minorHAnsi" w:hAnsiTheme="minorHAnsi"/>
          <w:sz w:val="22"/>
          <w:szCs w:val="22"/>
        </w:rPr>
        <w:t xml:space="preserve"> (Chicago, The University of Chicago Press, 2016);</w:t>
      </w:r>
    </w:p>
    <w:p w14:paraId="31A57005" w14:textId="77777777" w:rsidR="00156532" w:rsidRPr="008254B0" w:rsidRDefault="00156532" w:rsidP="00156532">
      <w:pPr>
        <w:pStyle w:val="EndnoteText"/>
        <w:numPr>
          <w:ilvl w:val="0"/>
          <w:numId w:val="30"/>
        </w:numPr>
        <w:spacing w:beforeLines="120" w:before="288" w:afterLines="120" w:after="288" w:line="276" w:lineRule="auto"/>
        <w:rPr>
          <w:rFonts w:asciiTheme="minorHAnsi" w:hAnsiTheme="minorHAnsi"/>
          <w:sz w:val="22"/>
          <w:szCs w:val="22"/>
        </w:rPr>
      </w:pPr>
      <w:r w:rsidRPr="008254B0">
        <w:rPr>
          <w:rFonts w:asciiTheme="minorHAnsi" w:hAnsiTheme="minorHAnsi"/>
          <w:sz w:val="22"/>
          <w:szCs w:val="22"/>
        </w:rPr>
        <w:t xml:space="preserve">Katy Lock and Hugh Ellis, </w:t>
      </w:r>
      <w:r w:rsidRPr="008254B0">
        <w:rPr>
          <w:rFonts w:asciiTheme="minorHAnsi" w:hAnsiTheme="minorHAnsi"/>
          <w:i/>
          <w:iCs/>
          <w:sz w:val="22"/>
          <w:szCs w:val="22"/>
        </w:rPr>
        <w:t>New Towns: The Rise, Fall and Rebirth</w:t>
      </w:r>
      <w:r w:rsidRPr="008254B0">
        <w:rPr>
          <w:rFonts w:asciiTheme="minorHAnsi" w:hAnsiTheme="minorHAnsi"/>
          <w:sz w:val="22"/>
          <w:szCs w:val="22"/>
        </w:rPr>
        <w:t xml:space="preserve"> (London, RIBA Publishing, 2020)</w:t>
      </w:r>
    </w:p>
  </w:endnote>
  <w:endnote w:id="9">
    <w:p w14:paraId="32C7471C" w14:textId="77777777" w:rsidR="00156532" w:rsidRPr="008254B0" w:rsidRDefault="00156532" w:rsidP="00156532">
      <w:pPr>
        <w:pStyle w:val="EndnoteText"/>
        <w:spacing w:beforeLines="120" w:before="288" w:afterLines="120" w:after="288" w:line="276" w:lineRule="auto"/>
        <w:rPr>
          <w:sz w:val="22"/>
          <w:szCs w:val="22"/>
        </w:rPr>
      </w:pPr>
      <w:r w:rsidRPr="008254B0">
        <w:rPr>
          <w:rStyle w:val="EndnoteReference"/>
          <w:sz w:val="22"/>
          <w:szCs w:val="22"/>
        </w:rPr>
        <w:endnoteRef/>
      </w:r>
      <w:r w:rsidRPr="008254B0">
        <w:rPr>
          <w:sz w:val="22"/>
          <w:szCs w:val="22"/>
        </w:rPr>
        <w:t xml:space="preserve"> For example: Richard B. Peiser and Ann Forsyth (eds.), </w:t>
      </w:r>
      <w:r w:rsidRPr="008254B0">
        <w:rPr>
          <w:i/>
          <w:iCs/>
          <w:sz w:val="22"/>
          <w:szCs w:val="22"/>
        </w:rPr>
        <w:t>New Towns for the Twenty-First Century - A Guide to Planned Communities Worldwide,</w:t>
      </w:r>
      <w:r w:rsidRPr="008254B0">
        <w:rPr>
          <w:sz w:val="22"/>
          <w:szCs w:val="22"/>
        </w:rPr>
        <w:t xml:space="preserve"> Philadelphia, University of Pennsylvania Press (2021).</w:t>
      </w:r>
    </w:p>
  </w:endnote>
  <w:endnote w:id="10">
    <w:p w14:paraId="751AB57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11">
    <w:p w14:paraId="1CAFEAD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Almere Municipality, </w:t>
      </w:r>
      <w:hyperlink r:id="rId4" w:history="1">
        <w:r w:rsidRPr="005D7EEC">
          <w:rPr>
            <w:rStyle w:val="Hyperlink"/>
            <w:rFonts w:cs="Arial"/>
            <w:sz w:val="22"/>
            <w:szCs w:val="22"/>
          </w:rPr>
          <w:t>'About Almere</w:t>
        </w:r>
      </w:hyperlink>
      <w:r w:rsidRPr="005D7EEC">
        <w:rPr>
          <w:rFonts w:cs="Arial"/>
          <w:sz w:val="22"/>
          <w:szCs w:val="22"/>
        </w:rPr>
        <w:t>' [accessed 08/11/2025]</w:t>
      </w:r>
    </w:p>
  </w:endnote>
  <w:endnote w:id="12">
    <w:p w14:paraId="23D15A3B"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Nobelhorst, ‘</w:t>
      </w:r>
      <w:hyperlink r:id="rId5" w:history="1">
        <w:r w:rsidRPr="005D7EEC">
          <w:rPr>
            <w:rStyle w:val="Hyperlink"/>
            <w:rFonts w:cs="Arial"/>
            <w:sz w:val="22"/>
            <w:szCs w:val="22"/>
          </w:rPr>
          <w:t>The Village of Almere’</w:t>
        </w:r>
      </w:hyperlink>
      <w:r w:rsidRPr="005D7EEC">
        <w:rPr>
          <w:rFonts w:cs="Arial"/>
          <w:sz w:val="22"/>
          <w:szCs w:val="22"/>
        </w:rPr>
        <w:t xml:space="preserve"> [accessed 08/11/2025] </w:t>
      </w:r>
    </w:p>
  </w:endnote>
  <w:endnote w:id="13">
    <w:p w14:paraId="317F4348"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Theme="minorEastAsia" w:cs="Arial"/>
          <w:sz w:val="22"/>
          <w:szCs w:val="22"/>
        </w:rPr>
        <w:endnoteRef/>
      </w:r>
      <w:r w:rsidRPr="005D7EEC">
        <w:rPr>
          <w:rFonts w:eastAsiaTheme="minorEastAsia"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14">
    <w:p w14:paraId="7A44DD5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Anke Brons, Peter Oosterveer and Sigrid Wertheim-Heck, ‘In- and exclusion in urban food governance: exploring networks and power in the city of Almere’, </w:t>
      </w:r>
      <w:r w:rsidRPr="005D7EEC">
        <w:rPr>
          <w:rFonts w:cs="Arial"/>
          <w:i/>
          <w:iCs/>
          <w:sz w:val="22"/>
          <w:szCs w:val="22"/>
        </w:rPr>
        <w:t>Journal of Environmental Policy and Planning</w:t>
      </w:r>
      <w:r w:rsidRPr="005D7EEC">
        <w:rPr>
          <w:rFonts w:cs="Arial"/>
          <w:sz w:val="22"/>
          <w:szCs w:val="22"/>
        </w:rPr>
        <w:t>, 24-6 (2022), pp. 777–793.</w:t>
      </w:r>
    </w:p>
  </w:endnote>
  <w:endnote w:id="15">
    <w:p w14:paraId="3EEB8D86" w14:textId="77777777" w:rsidR="009518E9" w:rsidRPr="005D7EEC" w:rsidRDefault="009518E9" w:rsidP="009518E9">
      <w:pPr>
        <w:pStyle w:val="EndnoteText"/>
        <w:spacing w:after="120" w:line="276" w:lineRule="auto"/>
        <w:rPr>
          <w:rFonts w:eastAsia="Helvetica" w:cs="Arial"/>
          <w:color w:val="000000" w:themeColor="text1"/>
          <w:sz w:val="22"/>
          <w:szCs w:val="22"/>
        </w:rPr>
      </w:pPr>
      <w:r w:rsidRPr="005D7EEC">
        <w:rPr>
          <w:rStyle w:val="EndnoteReference"/>
          <w:rFonts w:cs="Arial"/>
          <w:sz w:val="22"/>
          <w:szCs w:val="22"/>
        </w:rPr>
        <w:endnoteRef/>
      </w:r>
      <w:r w:rsidRPr="005D7EEC">
        <w:rPr>
          <w:rFonts w:cs="Arial"/>
          <w:sz w:val="22"/>
          <w:szCs w:val="22"/>
        </w:rPr>
        <w:t xml:space="preserve"> Jing Zhou, ‘Urban Vitality in Dutch and Chinese New Towns: A comparative study between Almere and Tongzhou’, TU Delft, Faculty of Architecture, Urbanism department, (2012), pp. 15-385.</w:t>
      </w:r>
    </w:p>
  </w:endnote>
  <w:endnote w:id="16">
    <w:p w14:paraId="6DA1158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17">
    <w:p w14:paraId="57C40A0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18">
    <w:p w14:paraId="16C17FB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19">
    <w:p w14:paraId="184C784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Samuel Agyekum and Harrison Esam Awuh, ‘Striving for just sustainabilities in urban foodscape planning: the case of Almere city in the Netherlands’, </w:t>
      </w:r>
      <w:r w:rsidRPr="005D7EEC">
        <w:rPr>
          <w:rFonts w:cs="Arial"/>
          <w:i/>
          <w:iCs/>
          <w:sz w:val="22"/>
          <w:szCs w:val="22"/>
        </w:rPr>
        <w:t>Local Environment</w:t>
      </w:r>
      <w:r w:rsidRPr="005D7EEC">
        <w:rPr>
          <w:rFonts w:cs="Arial"/>
          <w:sz w:val="22"/>
          <w:szCs w:val="22"/>
        </w:rPr>
        <w:t>, 29.8 (2024), pp.1063-1084.</w:t>
      </w:r>
    </w:p>
  </w:endnote>
  <w:endnote w:id="20">
    <w:p w14:paraId="48AF008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1">
    <w:p w14:paraId="7CB31DFD"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2">
    <w:p w14:paraId="7E927DE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3">
    <w:p w14:paraId="54F4DEA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Samuel Agyekum and Harrison Esam Awuh, ‘Striving for just sustainabilities in urban foodscape planning: the case of Almere city in the Netherlands’, </w:t>
      </w:r>
      <w:r w:rsidRPr="005D7EEC">
        <w:rPr>
          <w:rFonts w:cs="Arial"/>
          <w:i/>
          <w:iCs/>
          <w:sz w:val="22"/>
          <w:szCs w:val="22"/>
        </w:rPr>
        <w:t>Local Environment</w:t>
      </w:r>
      <w:r w:rsidRPr="005D7EEC">
        <w:rPr>
          <w:rFonts w:cs="Arial"/>
          <w:sz w:val="22"/>
          <w:szCs w:val="22"/>
        </w:rPr>
        <w:t>, 29.8 (2024), pp.1063-1084.</w:t>
      </w:r>
    </w:p>
  </w:endnote>
  <w:endnote w:id="24">
    <w:p w14:paraId="510EC7D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Netherlands, National Urban Policy Database, </w:t>
      </w:r>
      <w:hyperlink r:id="rId6" w:history="1">
        <w:r w:rsidRPr="005D7EEC">
          <w:rPr>
            <w:rStyle w:val="Hyperlink"/>
            <w:rFonts w:cs="Arial"/>
            <w:sz w:val="22"/>
            <w:szCs w:val="22"/>
          </w:rPr>
          <w:t>Urban Policy Platform</w:t>
        </w:r>
      </w:hyperlink>
      <w:r w:rsidRPr="005D7EEC">
        <w:rPr>
          <w:rFonts w:cs="Arial"/>
          <w:sz w:val="22"/>
          <w:szCs w:val="22"/>
        </w:rPr>
        <w:t>, Facilitated by UN-Habitat [accessed 08/11/2025]</w:t>
      </w:r>
    </w:p>
  </w:endnote>
  <w:endnote w:id="25">
    <w:p w14:paraId="3F158A2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6">
    <w:p w14:paraId="3860D39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7">
    <w:p w14:paraId="75A29CF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28">
    <w:p w14:paraId="7A6C069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29">
    <w:p w14:paraId="1D45D9D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0">
    <w:p w14:paraId="1BC3319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Christian Jantzen and Mikael Vetner, ‘Re-inventing Città Ideale: Designing Urban Experiences in Almere’, paper delivered at conference, Aalborg University, (2008), pp. 1-24.</w:t>
      </w:r>
    </w:p>
  </w:endnote>
  <w:endnote w:id="31">
    <w:p w14:paraId="2A51A2C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2">
    <w:p w14:paraId="18DE85F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33">
    <w:p w14:paraId="2BC6D84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34">
    <w:p w14:paraId="066423CB"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5">
    <w:p w14:paraId="4ABDC9D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36">
    <w:p w14:paraId="6DF5CFB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37">
    <w:p w14:paraId="0A2E94A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38">
    <w:p w14:paraId="380A414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9">
    <w:p w14:paraId="7C76525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Brons, Oosterveer and Wertheim-Heck, ‘In- and exclusion in urban food governance: exploring networks and power in the city of Almere’.</w:t>
      </w:r>
    </w:p>
  </w:endnote>
  <w:endnote w:id="40">
    <w:p w14:paraId="6242043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Han J. A. Wezenaar, ‘Leisure land-use planning and sustainability in the new town of Almere, The Netherlands’, </w:t>
      </w:r>
      <w:r w:rsidRPr="005D7EEC">
        <w:rPr>
          <w:rFonts w:cs="Arial"/>
          <w:i/>
          <w:iCs/>
          <w:sz w:val="22"/>
          <w:szCs w:val="22"/>
        </w:rPr>
        <w:t>Tourism Geographies</w:t>
      </w:r>
      <w:r w:rsidRPr="005D7EEC">
        <w:rPr>
          <w:rFonts w:cs="Arial"/>
          <w:sz w:val="22"/>
          <w:szCs w:val="22"/>
        </w:rPr>
        <w:t>, (Routledge, 1999), pp. 460-476.</w:t>
      </w:r>
    </w:p>
  </w:endnote>
  <w:endnote w:id="41">
    <w:p w14:paraId="19A86A6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Han J. A. Wezenaar, ‘Leisure land-use planning and sustainability in the new town of Almere, The Netherlands’, </w:t>
      </w:r>
      <w:r w:rsidRPr="005D7EEC">
        <w:rPr>
          <w:rFonts w:cs="Arial"/>
          <w:i/>
          <w:iCs/>
          <w:sz w:val="22"/>
          <w:szCs w:val="22"/>
        </w:rPr>
        <w:t>Tourism Geographies</w:t>
      </w:r>
      <w:r w:rsidRPr="005D7EEC">
        <w:rPr>
          <w:rFonts w:cs="Arial"/>
          <w:sz w:val="22"/>
          <w:szCs w:val="22"/>
        </w:rPr>
        <w:t>, (Routledge, 1999), pp. 460-476.</w:t>
      </w:r>
    </w:p>
  </w:endnote>
  <w:endnote w:id="42">
    <w:p w14:paraId="6D06C2A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Christian Jantzen and Mikael Vetner, ‘Re-inventing Città Ideale: Designing Urban Experiences in Almere’, paper delivered at conference, Aalborg University, (2008), pp. 1-24.</w:t>
      </w:r>
    </w:p>
  </w:endnote>
  <w:endnote w:id="43">
    <w:p w14:paraId="3765E38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Christian Jantzen and Mikael Vetner, ‘Re-inventing Città Ideale: Designing Urban Experiences in Almere’, paper delivered at conference, Aalborg University, (2008), pp. 1-24.</w:t>
      </w:r>
    </w:p>
  </w:endnote>
  <w:endnote w:id="44">
    <w:p w14:paraId="5AD64C5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Anna Growe and Tim Freytag, ‘Image and implementation of sustainable urban development: Showcase projects and other projects in Freiburg, Heidelberg and Tübingen, Germany’, </w:t>
      </w:r>
      <w:r w:rsidRPr="005D7EEC">
        <w:rPr>
          <w:rFonts w:cs="Arial"/>
          <w:i/>
          <w:iCs/>
          <w:sz w:val="22"/>
          <w:szCs w:val="22"/>
        </w:rPr>
        <w:t>Raumforschung und Raumordnung Spatial Research and Planning</w:t>
      </w:r>
      <w:r w:rsidRPr="005D7EEC">
        <w:rPr>
          <w:rFonts w:cs="Arial"/>
          <w:sz w:val="22"/>
          <w:szCs w:val="22"/>
        </w:rPr>
        <w:t>, 77.5 (2019), pp. 457–474.</w:t>
      </w:r>
    </w:p>
  </w:endnote>
  <w:endnote w:id="45">
    <w:p w14:paraId="6A3B9C7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Sebastian Dembski and Phil O’Brien, ‘Zoning in or zoning out? Lessons from Europe’, in </w:t>
      </w:r>
      <w:r w:rsidRPr="005D7EEC">
        <w:rPr>
          <w:rFonts w:cs="Arial"/>
          <w:i/>
          <w:iCs/>
          <w:sz w:val="22"/>
          <w:szCs w:val="22"/>
        </w:rPr>
        <w:t>Planning in a Failing State – Reforming Spatial Governance in England</w:t>
      </w:r>
      <w:r w:rsidRPr="005D7EEC">
        <w:rPr>
          <w:rFonts w:cs="Arial"/>
          <w:sz w:val="22"/>
          <w:szCs w:val="22"/>
        </w:rPr>
        <w:t>, ed. by Olivier Sykes and John Sturzaker (Policy Press, 2024), pp. 103-119.</w:t>
      </w:r>
    </w:p>
  </w:endnote>
  <w:endnote w:id="46">
    <w:p w14:paraId="0BED780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See for example Gary J. Coates, </w:t>
      </w:r>
      <w:hyperlink r:id="rId7" w:history="1">
        <w:r w:rsidRPr="005D7EEC">
          <w:rPr>
            <w:rStyle w:val="Hyperlink"/>
            <w:rFonts w:cs="Arial"/>
            <w:sz w:val="22"/>
            <w:szCs w:val="22"/>
          </w:rPr>
          <w:t>‘The Sustainable Urban District of Vauban In Freiburg, Germany’</w:t>
        </w:r>
      </w:hyperlink>
      <w:r w:rsidRPr="005D7EEC">
        <w:rPr>
          <w:rFonts w:cs="Arial"/>
          <w:sz w:val="22"/>
          <w:szCs w:val="22"/>
        </w:rPr>
        <w:t xml:space="preserve">, </w:t>
      </w:r>
      <w:r w:rsidRPr="005D7EEC">
        <w:rPr>
          <w:rFonts w:cs="Arial"/>
          <w:i/>
          <w:iCs/>
          <w:sz w:val="22"/>
          <w:szCs w:val="22"/>
        </w:rPr>
        <w:t>International Journal of Design &amp; Nature and Ecodynamics,</w:t>
      </w:r>
      <w:r w:rsidRPr="005D7EEC">
        <w:rPr>
          <w:rFonts w:cs="Arial"/>
          <w:sz w:val="22"/>
          <w:szCs w:val="22"/>
        </w:rPr>
        <w:t xml:space="preserve"> 8.4 (2013), pp. 265-286 [accessed 07/08/2025]</w:t>
      </w:r>
    </w:p>
  </w:endnote>
  <w:endnote w:id="47">
    <w:p w14:paraId="3022DB1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David Thorpe, </w:t>
      </w:r>
      <w:hyperlink r:id="rId8" w:history="1">
        <w:r w:rsidRPr="005D7EEC">
          <w:rPr>
            <w:rStyle w:val="Hyperlink"/>
            <w:rFonts w:cs="Arial"/>
            <w:sz w:val="22"/>
            <w:szCs w:val="22"/>
          </w:rPr>
          <w:t>‘The Baugruppen model of development’</w:t>
        </w:r>
      </w:hyperlink>
      <w:r w:rsidRPr="005D7EEC">
        <w:rPr>
          <w:rFonts w:cs="Arial"/>
          <w:sz w:val="22"/>
          <w:szCs w:val="22"/>
        </w:rPr>
        <w:t xml:space="preserve">, theoneplanetlife.com, 2020 [accessed 07/08/2025] </w:t>
      </w:r>
    </w:p>
  </w:endnote>
  <w:endnote w:id="48">
    <w:p w14:paraId="443B074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Style w:val="EndnoteReference"/>
          <w:rFonts w:cs="Arial"/>
          <w:sz w:val="22"/>
          <w:szCs w:val="22"/>
        </w:rPr>
        <w:endnoteRef/>
      </w:r>
      <w:r w:rsidRPr="005D7EEC">
        <w:rPr>
          <w:rFonts w:cs="Arial"/>
          <w:sz w:val="22"/>
          <w:szCs w:val="22"/>
        </w:rPr>
        <w:t xml:space="preserve"> Stadtplanungsamt Frankfurt am Main, </w:t>
      </w:r>
      <w:hyperlink r:id="rId9" w:history="1">
        <w:r w:rsidRPr="005D7EEC">
          <w:rPr>
            <w:rStyle w:val="Hyperlink"/>
            <w:rFonts w:cs="Arial"/>
            <w:sz w:val="22"/>
            <w:szCs w:val="22"/>
          </w:rPr>
          <w:t>‘Urban Development Measures’</w:t>
        </w:r>
      </w:hyperlink>
      <w:r w:rsidRPr="005D7EEC">
        <w:rPr>
          <w:rFonts w:cs="Arial"/>
          <w:sz w:val="22"/>
          <w:szCs w:val="22"/>
        </w:rPr>
        <w:t>,  Stadtplanungsamt Frankfurt am Main, 2025 accessed 27/08/2025]</w:t>
      </w:r>
    </w:p>
  </w:endnote>
  <w:endnote w:id="49">
    <w:p w14:paraId="2793CC9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For more on land value capture in Germany, see Tony Crook, ‘Local authority land acquisition in Germany and the Netherlands: are there lessons for Scotland?’, Scottish Land Commission (2018).</w:t>
      </w:r>
    </w:p>
  </w:endnote>
  <w:endnote w:id="50">
    <w:p w14:paraId="6C1BCE5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Freiburg City Council, </w:t>
      </w:r>
      <w:hyperlink r:id="rId10" w:history="1">
        <w:r w:rsidRPr="005D7EEC">
          <w:rPr>
            <w:rStyle w:val="Hyperlink"/>
            <w:rFonts w:cs="Arial"/>
            <w:sz w:val="22"/>
            <w:szCs w:val="22"/>
          </w:rPr>
          <w:t>‘Das Fest Für Alle’</w:t>
        </w:r>
      </w:hyperlink>
      <w:r w:rsidRPr="005D7EEC">
        <w:rPr>
          <w:rFonts w:cs="Arial"/>
          <w:sz w:val="22"/>
          <w:szCs w:val="22"/>
        </w:rPr>
        <w:t>, 2025 [accessed 07/08/2025]</w:t>
      </w:r>
    </w:p>
  </w:endnote>
  <w:endnote w:id="51">
    <w:p w14:paraId="01C7962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Ralph Buehler and John Pucher, ‘Sustainable Transport in Freiburg: Lessons from Germany's Environmental Capital’, </w:t>
      </w:r>
      <w:r w:rsidRPr="005D7EEC">
        <w:rPr>
          <w:rFonts w:cs="Arial"/>
          <w:i/>
          <w:iCs/>
          <w:sz w:val="22"/>
          <w:szCs w:val="22"/>
        </w:rPr>
        <w:t>International Journal of Sustainable Transportation</w:t>
      </w:r>
      <w:r w:rsidRPr="005D7EEC">
        <w:rPr>
          <w:rFonts w:cs="Arial"/>
          <w:sz w:val="22"/>
          <w:szCs w:val="22"/>
        </w:rPr>
        <w:t>, 5:1 (2011), pp. 43-70.</w:t>
      </w:r>
    </w:p>
  </w:endnote>
  <w:endnote w:id="52">
    <w:p w14:paraId="60D838FF"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Urban Design Lab, </w:t>
      </w:r>
      <w:hyperlink r:id="rId11" w:history="1">
        <w:r w:rsidRPr="005D7EEC">
          <w:rPr>
            <w:rStyle w:val="Hyperlink"/>
            <w:rFonts w:cs="Arial"/>
            <w:sz w:val="22"/>
            <w:szCs w:val="22"/>
          </w:rPr>
          <w:t>‘Vauban Eco District Freiburg as a Model for Sustainable Urban Regeneration’</w:t>
        </w:r>
      </w:hyperlink>
      <w:r w:rsidRPr="005D7EEC">
        <w:rPr>
          <w:rFonts w:cs="Arial"/>
          <w:sz w:val="22"/>
          <w:szCs w:val="22"/>
        </w:rPr>
        <w:t>,  24 April 2025 accessed 08/11/2025]</w:t>
      </w:r>
    </w:p>
  </w:endnote>
  <w:endnote w:id="53">
    <w:p w14:paraId="620F7EE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Anoush Darabi, </w:t>
      </w:r>
      <w:hyperlink r:id="rId12" w:history="1">
        <w:r w:rsidRPr="005D7EEC">
          <w:rPr>
            <w:rStyle w:val="Hyperlink"/>
            <w:rFonts w:cs="Arial"/>
            <w:sz w:val="22"/>
            <w:szCs w:val="22"/>
          </w:rPr>
          <w:t>‘What one of the world's greenest neighbourhoods looks like’</w:t>
        </w:r>
      </w:hyperlink>
      <w:r w:rsidRPr="005D7EEC">
        <w:rPr>
          <w:rFonts w:cs="Arial"/>
          <w:sz w:val="22"/>
          <w:szCs w:val="22"/>
        </w:rPr>
        <w:t>, Apolitical, 2018 [accessed 07/08/2025]</w:t>
      </w:r>
    </w:p>
  </w:endnote>
  <w:endnote w:id="54">
    <w:p w14:paraId="07837255"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Freiburg, </w:t>
      </w:r>
      <w:hyperlink r:id="rId13" w:history="1">
        <w:r w:rsidRPr="005D7EEC">
          <w:rPr>
            <w:rStyle w:val="Hyperlink"/>
            <w:rFonts w:cs="Arial"/>
            <w:sz w:val="22"/>
            <w:szCs w:val="22"/>
          </w:rPr>
          <w:t>‘The feast for everyone on 13. July’</w:t>
        </w:r>
      </w:hyperlink>
      <w:r w:rsidRPr="005D7EEC">
        <w:rPr>
          <w:rFonts w:cs="Arial"/>
          <w:sz w:val="22"/>
          <w:szCs w:val="22"/>
        </w:rPr>
        <w:t>, [accessed 08/11/2025]</w:t>
      </w:r>
    </w:p>
  </w:endnote>
  <w:endnote w:id="55">
    <w:p w14:paraId="58C5CC44"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James M. Rubenstein, ‘The French new towns’, (Johns Hopkins University Press, 2019).</w:t>
      </w:r>
    </w:p>
  </w:endnote>
  <w:endnote w:id="56">
    <w:p w14:paraId="373A3F0B"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57">
    <w:p w14:paraId="509169E1"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John N. Tuppen, ‘The development of French new towns: an assessment of progress’. </w:t>
      </w:r>
      <w:r w:rsidRPr="005D7EEC">
        <w:rPr>
          <w:rFonts w:eastAsia="Aptos" w:cs="Arial"/>
          <w:i/>
          <w:iCs/>
          <w:sz w:val="22"/>
          <w:szCs w:val="22"/>
        </w:rPr>
        <w:t>Urban studies</w:t>
      </w:r>
      <w:r w:rsidRPr="005D7EEC">
        <w:rPr>
          <w:rFonts w:eastAsia="Aptos" w:cs="Arial"/>
          <w:sz w:val="22"/>
          <w:szCs w:val="22"/>
        </w:rPr>
        <w:t>, 20:1 (1983), p.11-30.</w:t>
      </w:r>
    </w:p>
  </w:endnote>
  <w:endnote w:id="58">
    <w:p w14:paraId="7597B141"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59">
    <w:p w14:paraId="5778069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Desponds and Auclair, ‘The new towns around Paris 40 years later: New dynamic centralities or suburbs facing risk of marginalisation?’</w:t>
      </w:r>
    </w:p>
  </w:endnote>
  <w:endnote w:id="60">
    <w:p w14:paraId="32A2CCE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Antoine </w:t>
      </w:r>
      <w:r w:rsidRPr="005D7EEC">
        <w:rPr>
          <w:rFonts w:eastAsia="Aptos" w:cs="Arial"/>
          <w:color w:val="000000" w:themeColor="text1"/>
          <w:sz w:val="22"/>
          <w:szCs w:val="22"/>
        </w:rPr>
        <w:t xml:space="preserve">Haumont and Isabelle Chesneau, ‘La mixité sociale programmée dans les villes nouvelles. Les exemples de Cergy-Pontoise et de Marne-la-Vallée’. </w:t>
      </w:r>
      <w:r w:rsidRPr="005D7EEC">
        <w:rPr>
          <w:rFonts w:eastAsia="Aptos" w:cs="Arial"/>
          <w:i/>
          <w:iCs/>
          <w:color w:val="000000" w:themeColor="text1"/>
          <w:sz w:val="22"/>
          <w:szCs w:val="22"/>
        </w:rPr>
        <w:t>Les Annales de la recherche urbaine</w:t>
      </w:r>
      <w:r w:rsidRPr="005D7EEC">
        <w:rPr>
          <w:rFonts w:eastAsia="Aptos" w:cs="Arial"/>
          <w:color w:val="000000" w:themeColor="text1"/>
          <w:sz w:val="22"/>
          <w:szCs w:val="22"/>
        </w:rPr>
        <w:t>, 98 (2005), pp. 83-87.</w:t>
      </w:r>
    </w:p>
  </w:endnote>
  <w:endnote w:id="61">
    <w:p w14:paraId="2A9C0DF7"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62">
    <w:p w14:paraId="3FD09838" w14:textId="77777777" w:rsidR="009518E9" w:rsidRPr="005D7EEC" w:rsidRDefault="009518E9" w:rsidP="009518E9">
      <w:pPr>
        <w:pStyle w:val="EndnoteText"/>
        <w:spacing w:after="120" w:line="276" w:lineRule="auto"/>
        <w:rPr>
          <w:rFonts w:eastAsia="Aptos" w:cs="Arial"/>
          <w:color w:val="000000" w:themeColor="text1"/>
          <w:sz w:val="22"/>
          <w:szCs w:val="22"/>
          <w:vertAlign w:val="superscript"/>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63">
    <w:p w14:paraId="406C6DD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cs="Arial"/>
          <w:sz w:val="22"/>
          <w:szCs w:val="22"/>
        </w:rPr>
        <w:t>James M. Rubenstein, ‘The French new towns’, (Johns Hopkins University Press, 2019).</w:t>
      </w:r>
    </w:p>
  </w:endnote>
  <w:endnote w:id="64">
    <w:p w14:paraId="1ABFA91B"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65">
    <w:p w14:paraId="45C720E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hyperlink r:id="rId14" w:history="1">
        <w:r w:rsidRPr="005D7EEC">
          <w:rPr>
            <w:rStyle w:val="Hyperlink"/>
            <w:rFonts w:eastAsia="Aptos" w:cs="Arial"/>
            <w:sz w:val="22"/>
            <w:szCs w:val="22"/>
          </w:rPr>
          <w:t>Métropole du Grand Paris</w:t>
        </w:r>
      </w:hyperlink>
      <w:r w:rsidRPr="005D7EEC">
        <w:rPr>
          <w:rFonts w:eastAsia="Aptos" w:cs="Arial"/>
          <w:sz w:val="22"/>
          <w:szCs w:val="22"/>
        </w:rPr>
        <w:t xml:space="preserve">  [accessed on 08/11/2025]</w:t>
      </w:r>
    </w:p>
  </w:endnote>
  <w:endnote w:id="66">
    <w:p w14:paraId="03467C04"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67">
    <w:p w14:paraId="4210521C"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68">
    <w:p w14:paraId="072ADFE8"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Emeric Lambert, </w:t>
      </w:r>
      <w:hyperlink r:id="rId15" w:history="1">
        <w:r w:rsidRPr="005D7EEC">
          <w:rPr>
            <w:rStyle w:val="Hyperlink"/>
            <w:rFonts w:eastAsia="Aptos" w:cs="Arial"/>
            <w:sz w:val="22"/>
            <w:szCs w:val="22"/>
          </w:rPr>
          <w:t>‘Faire la ville suburbaine. Le projet Sénart’</w:t>
        </w:r>
      </w:hyperlink>
      <w:r w:rsidRPr="005D7EEC">
        <w:rPr>
          <w:rFonts w:eastAsia="Aptos" w:cs="Arial"/>
          <w:sz w:val="22"/>
          <w:szCs w:val="22"/>
        </w:rPr>
        <w:t xml:space="preserve">. </w:t>
      </w:r>
      <w:r w:rsidRPr="005D7EEC">
        <w:rPr>
          <w:rFonts w:eastAsia="Aptos" w:cs="Arial"/>
          <w:i/>
          <w:iCs/>
          <w:sz w:val="22"/>
          <w:szCs w:val="22"/>
        </w:rPr>
        <w:t>Articulo-Journal of Urban Research</w:t>
      </w:r>
      <w:r w:rsidRPr="005D7EEC">
        <w:rPr>
          <w:rFonts w:eastAsia="Aptos" w:cs="Arial"/>
          <w:sz w:val="22"/>
          <w:szCs w:val="22"/>
        </w:rPr>
        <w:t>, 5 (2009).</w:t>
      </w:r>
      <w:r w:rsidRPr="005D7EEC" w:rsidDel="00CA46CA">
        <w:rPr>
          <w:rFonts w:cs="Arial"/>
          <w:sz w:val="22"/>
          <w:szCs w:val="22"/>
        </w:rPr>
        <w:t xml:space="preserve"> </w:t>
      </w:r>
      <w:r w:rsidRPr="005D7EEC">
        <w:rPr>
          <w:rFonts w:cs="Arial"/>
          <w:sz w:val="22"/>
          <w:szCs w:val="22"/>
        </w:rPr>
        <w:t>[</w:t>
      </w:r>
      <w:r w:rsidRPr="005D7EEC">
        <w:rPr>
          <w:rFonts w:eastAsia="Aptos" w:cs="Arial"/>
          <w:sz w:val="22"/>
          <w:szCs w:val="22"/>
        </w:rPr>
        <w:t>accessed 09/11/2025]</w:t>
      </w:r>
    </w:p>
  </w:endnote>
  <w:endnote w:id="69">
    <w:p w14:paraId="12DC88B2"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John N. Tuppen, ‘The development of French new towns: an assessment of progress’. </w:t>
      </w:r>
      <w:r w:rsidRPr="005D7EEC">
        <w:rPr>
          <w:rFonts w:eastAsia="Aptos" w:cs="Arial"/>
          <w:i/>
          <w:iCs/>
          <w:sz w:val="22"/>
          <w:szCs w:val="22"/>
        </w:rPr>
        <w:t>Urban studies</w:t>
      </w:r>
      <w:r w:rsidRPr="005D7EEC">
        <w:rPr>
          <w:rFonts w:eastAsia="Aptos" w:cs="Arial"/>
          <w:sz w:val="22"/>
          <w:szCs w:val="22"/>
        </w:rPr>
        <w:t>, 20:1 (1983), p.11-30.</w:t>
      </w:r>
    </w:p>
  </w:endnote>
  <w:endnote w:id="70">
    <w:p w14:paraId="3174DE18" w14:textId="77777777" w:rsidR="009518E9" w:rsidRPr="005D7EEC" w:rsidRDefault="009518E9" w:rsidP="009518E9">
      <w:pPr>
        <w:pStyle w:val="Body"/>
        <w:rPr>
          <w:rFonts w:ascii="Arial" w:hAnsi="Arial" w:cs="Arial"/>
        </w:rPr>
      </w:pPr>
      <w:r w:rsidRPr="005D7EEC">
        <w:rPr>
          <w:rStyle w:val="EndnoteReference"/>
          <w:rFonts w:ascii="Arial" w:hAnsi="Arial" w:cs="Arial"/>
        </w:rPr>
        <w:endnoteRef/>
      </w:r>
      <w:r w:rsidRPr="005D7EEC">
        <w:rPr>
          <w:rFonts w:ascii="Arial" w:hAnsi="Arial" w:cs="Arial"/>
        </w:rPr>
        <w:t xml:space="preserve"> James M. Rubenstein, ‘The French new towns’, (Johns Hopkins University Press, 2019).</w:t>
      </w:r>
    </w:p>
  </w:endnote>
  <w:endnote w:id="71">
    <w:p w14:paraId="6B7918DB"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James M. Rubenstein, ‘The French new towns’, (Johns Hopkins University Press, 2019).</w:t>
      </w:r>
    </w:p>
  </w:endnote>
  <w:endnote w:id="72">
    <w:p w14:paraId="1FBB771B" w14:textId="77777777" w:rsidR="009518E9" w:rsidRPr="005D7EEC" w:rsidRDefault="009518E9" w:rsidP="009518E9">
      <w:pPr>
        <w:rPr>
          <w:rFonts w:cs="Arial"/>
          <w:sz w:val="22"/>
        </w:rPr>
      </w:pPr>
      <w:r w:rsidRPr="005D7EEC">
        <w:rPr>
          <w:rStyle w:val="EndnoteReference"/>
          <w:rFonts w:eastAsia="Aptos" w:cs="Arial"/>
          <w:sz w:val="22"/>
        </w:rPr>
        <w:endnoteRef/>
      </w:r>
      <w:r w:rsidRPr="005D7EEC">
        <w:rPr>
          <w:rFonts w:eastAsia="Aptos" w:cs="Arial"/>
          <w:sz w:val="22"/>
        </w:rPr>
        <w:t xml:space="preserve"> Frédéric Pousin and Nathalie Roseau, ‘Behind the metropolis: understanding Grand Paris through the history of its regional plans’. </w:t>
      </w:r>
      <w:r w:rsidRPr="005D7EEC">
        <w:rPr>
          <w:rFonts w:eastAsia="Aptos" w:cs="Arial"/>
          <w:i/>
          <w:iCs/>
          <w:sz w:val="22"/>
        </w:rPr>
        <w:t>Planning Perspectives</w:t>
      </w:r>
      <w:r w:rsidRPr="005D7EEC">
        <w:rPr>
          <w:rFonts w:eastAsia="Aptos" w:cs="Arial"/>
          <w:sz w:val="22"/>
        </w:rPr>
        <w:t xml:space="preserve">, 39.2 (2023), pp. 371-403. </w:t>
      </w:r>
    </w:p>
  </w:endnote>
  <w:endnote w:id="73">
    <w:p w14:paraId="75D50FDC" w14:textId="77777777" w:rsidR="009518E9" w:rsidRPr="005D7EEC" w:rsidRDefault="009518E9" w:rsidP="009518E9">
      <w:pPr>
        <w:pStyle w:val="EndnoteText"/>
        <w:spacing w:after="120" w:line="276" w:lineRule="auto"/>
        <w:rPr>
          <w:rFonts w:cs="Arial"/>
          <w:sz w:val="22"/>
          <w:szCs w:val="22"/>
          <w:highlight w:val="yellow"/>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74">
    <w:p w14:paraId="09CE6EF3"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75">
    <w:p w14:paraId="4F8315D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Anton Salov and Elena Semerikova, ‘Transportation and urban spatial structure: Evidence from Paris’, </w:t>
      </w:r>
      <w:r w:rsidRPr="005D7EEC">
        <w:rPr>
          <w:rFonts w:eastAsia="Aptos" w:cs="Arial"/>
          <w:i/>
          <w:iCs/>
          <w:color w:val="000000" w:themeColor="text1"/>
          <w:sz w:val="22"/>
          <w:szCs w:val="22"/>
        </w:rPr>
        <w:t>Environment and Planning B: Urban Analytics and City Science</w:t>
      </w:r>
      <w:r w:rsidRPr="005D7EEC">
        <w:rPr>
          <w:rFonts w:eastAsia="Aptos" w:cs="Arial"/>
          <w:color w:val="000000" w:themeColor="text1"/>
          <w:sz w:val="22"/>
          <w:szCs w:val="22"/>
        </w:rPr>
        <w:t>, 51.6 (2024), pp. 1248-1273.</w:t>
      </w:r>
    </w:p>
  </w:endnote>
  <w:endnote w:id="76">
    <w:p w14:paraId="72EA2129"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Anton Salov and Elena Semerikova, ‘Transportation and urban spatial structure: Evidence from Paris’, </w:t>
      </w:r>
      <w:r w:rsidRPr="005D7EEC">
        <w:rPr>
          <w:rFonts w:eastAsia="Aptos" w:cs="Arial"/>
          <w:i/>
          <w:iCs/>
          <w:color w:val="000000" w:themeColor="text1"/>
          <w:sz w:val="22"/>
          <w:szCs w:val="22"/>
        </w:rPr>
        <w:t>Environment and Planning B: Urban Analytics and City Science</w:t>
      </w:r>
      <w:r w:rsidRPr="005D7EEC">
        <w:rPr>
          <w:rFonts w:eastAsia="Aptos" w:cs="Arial"/>
          <w:color w:val="000000" w:themeColor="text1"/>
          <w:sz w:val="22"/>
          <w:szCs w:val="22"/>
        </w:rPr>
        <w:t>, 51.6 (2024), pp. 1248-1273.</w:t>
      </w:r>
    </w:p>
  </w:endnote>
  <w:endnote w:id="77">
    <w:p w14:paraId="1B07215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Anton Salov and Elena Semerikova, ‘Transportation and urban spatial structure: Evidence from Paris’, </w:t>
      </w:r>
      <w:r w:rsidRPr="005D7EEC">
        <w:rPr>
          <w:rFonts w:eastAsia="Aptos" w:cs="Arial"/>
          <w:i/>
          <w:iCs/>
          <w:color w:val="000000" w:themeColor="text1"/>
          <w:sz w:val="22"/>
          <w:szCs w:val="22"/>
        </w:rPr>
        <w:t>Environment and Planning B: Urban Analytics and City Science</w:t>
      </w:r>
      <w:r w:rsidRPr="005D7EEC">
        <w:rPr>
          <w:rFonts w:eastAsia="Aptos" w:cs="Arial"/>
          <w:color w:val="000000" w:themeColor="text1"/>
          <w:sz w:val="22"/>
          <w:szCs w:val="22"/>
        </w:rPr>
        <w:t>, 51.6 (2024), pp. 1248-1273.</w:t>
      </w:r>
    </w:p>
  </w:endnote>
  <w:endnote w:id="78">
    <w:p w14:paraId="7B972C1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Caroline </w:t>
      </w:r>
      <w:r w:rsidRPr="005D7EEC">
        <w:rPr>
          <w:rFonts w:eastAsia="Aptos" w:cs="Arial"/>
          <w:color w:val="000000" w:themeColor="text1"/>
          <w:sz w:val="22"/>
          <w:szCs w:val="22"/>
        </w:rPr>
        <w:t>Gallez, ‘Territorial Development Contracts in the ‘Grand Paris’ project: towards a negotiated networked development’. </w:t>
      </w:r>
      <w:r w:rsidRPr="005D7EEC">
        <w:rPr>
          <w:rFonts w:eastAsia="Aptos" w:cs="Arial"/>
          <w:i/>
          <w:iCs/>
          <w:color w:val="000000" w:themeColor="text1"/>
          <w:sz w:val="22"/>
          <w:szCs w:val="22"/>
        </w:rPr>
        <w:t>Town Planning Review</w:t>
      </w:r>
      <w:r w:rsidRPr="005D7EEC">
        <w:rPr>
          <w:rFonts w:eastAsia="Aptos" w:cs="Arial"/>
          <w:color w:val="000000" w:themeColor="text1"/>
          <w:sz w:val="22"/>
          <w:szCs w:val="22"/>
        </w:rPr>
        <w:t>, 85:2 (2014), pp. 273-286.</w:t>
      </w:r>
      <w:r w:rsidRPr="005D7EEC">
        <w:rPr>
          <w:rFonts w:cs="Arial"/>
          <w:sz w:val="22"/>
          <w:szCs w:val="22"/>
        </w:rPr>
        <w:t xml:space="preserve"> </w:t>
      </w:r>
    </w:p>
  </w:endnote>
  <w:endnote w:id="79">
    <w:p w14:paraId="71848477"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Paraphrased from David Fée, Bob Colenutt and Sabine Coady Schäbitz, ‘Lessons from British and French New Towns: Paradise Lost?.’ in </w:t>
      </w:r>
      <w:r w:rsidRPr="005D7EEC">
        <w:rPr>
          <w:rFonts w:cs="Arial"/>
          <w:i/>
          <w:iCs/>
          <w:sz w:val="22"/>
          <w:szCs w:val="22"/>
        </w:rPr>
        <w:t>Lessons from British and French New Towns: Paradise Lost?</w:t>
      </w:r>
      <w:r w:rsidRPr="005D7EEC">
        <w:rPr>
          <w:rFonts w:cs="Arial"/>
          <w:sz w:val="22"/>
          <w:szCs w:val="22"/>
        </w:rPr>
        <w:t>, ed. by David Fée, Bob Colenutt and Sabine Coady Schäbitz (Emerald Publishing Limited, 2020), pp. 1-15.</w:t>
      </w:r>
    </w:p>
  </w:endnote>
  <w:endnote w:id="80">
    <w:p w14:paraId="03DAB5F5"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81">
    <w:p w14:paraId="78831AB1"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David Fée, Bob Colenutt and Sabine Coady Schäbitz, ‘Lessons from British and French New Towns: Paradise Lost?.’ in </w:t>
      </w:r>
      <w:r w:rsidRPr="005D7EEC">
        <w:rPr>
          <w:rFonts w:cs="Arial"/>
          <w:i/>
          <w:iCs/>
          <w:sz w:val="22"/>
          <w:szCs w:val="22"/>
        </w:rPr>
        <w:t>Lessons from British and French New Towns: Paradise Lost?</w:t>
      </w:r>
      <w:r w:rsidRPr="005D7EEC">
        <w:rPr>
          <w:rFonts w:cs="Arial"/>
          <w:sz w:val="22"/>
          <w:szCs w:val="22"/>
        </w:rPr>
        <w:t>, ed. by David Fée, Bob Colenutt and Sabine Coady Schäbitz (Emerald Publishing Limited, 2020), pp. 1-15.</w:t>
      </w:r>
    </w:p>
  </w:endnote>
  <w:endnote w:id="82">
    <w:p w14:paraId="58A3FC53" w14:textId="77777777" w:rsidR="009518E9" w:rsidRPr="005D7EEC" w:rsidRDefault="009518E9" w:rsidP="009518E9">
      <w:pPr>
        <w:pStyle w:val="p2"/>
        <w:spacing w:after="120" w:line="276" w:lineRule="auto"/>
        <w:rPr>
          <w:rFonts w:ascii="Arial" w:hAnsi="Arial" w:cs="Arial"/>
          <w:sz w:val="22"/>
          <w:szCs w:val="22"/>
        </w:rPr>
      </w:pPr>
      <w:r w:rsidRPr="005D7EEC">
        <w:rPr>
          <w:rStyle w:val="EndnoteReference"/>
          <w:rFonts w:ascii="Arial" w:eastAsia="Aptos" w:hAnsi="Arial" w:cs="Arial"/>
          <w:sz w:val="22"/>
          <w:szCs w:val="22"/>
        </w:rPr>
        <w:endnoteRef/>
      </w:r>
      <w:r w:rsidRPr="005D7EEC">
        <w:rPr>
          <w:rFonts w:ascii="Arial" w:eastAsia="Aptos" w:hAnsi="Arial" w:cs="Arial"/>
          <w:sz w:val="22"/>
          <w:szCs w:val="22"/>
        </w:rPr>
        <w:t xml:space="preserve"> </w:t>
      </w:r>
      <w:r w:rsidRPr="005D7EEC">
        <w:rPr>
          <w:rFonts w:ascii="Arial" w:hAnsi="Arial" w:cs="Arial"/>
          <w:sz w:val="22"/>
          <w:szCs w:val="22"/>
        </w:rPr>
        <w:t xml:space="preserve">Catherine Blain, ‘A Tangible Utopia: The Genesis of Built Experiments in French New Towns’, in </w:t>
      </w:r>
      <w:r w:rsidRPr="005D7EEC">
        <w:rPr>
          <w:rFonts w:ascii="Arial" w:hAnsi="Arial" w:cs="Arial"/>
          <w:i/>
          <w:iCs/>
          <w:sz w:val="22"/>
          <w:szCs w:val="22"/>
        </w:rPr>
        <w:t>Lessons from British and French New Towns: Paradise Lost?</w:t>
      </w:r>
      <w:r w:rsidRPr="005D7EEC">
        <w:rPr>
          <w:rFonts w:ascii="Arial" w:hAnsi="Arial" w:cs="Arial"/>
          <w:sz w:val="22"/>
          <w:szCs w:val="22"/>
        </w:rPr>
        <w:t>, ed. by David Fée, Bob Colenutt and Sabine Coady Schäbitz (Emerald Publishing Limited, 2020), pp. 216-232.</w:t>
      </w:r>
    </w:p>
  </w:endnote>
  <w:endnote w:id="83">
    <w:p w14:paraId="2613D817" w14:textId="77777777" w:rsidR="009518E9" w:rsidRPr="005D7EEC" w:rsidRDefault="009518E9" w:rsidP="009518E9">
      <w:pPr>
        <w:pStyle w:val="p2"/>
        <w:spacing w:after="120" w:line="276" w:lineRule="auto"/>
        <w:rPr>
          <w:rFonts w:ascii="Arial" w:hAnsi="Arial" w:cs="Arial"/>
          <w:sz w:val="22"/>
          <w:szCs w:val="22"/>
        </w:rPr>
      </w:pPr>
      <w:r w:rsidRPr="005D7EEC">
        <w:rPr>
          <w:rStyle w:val="EndnoteReference"/>
          <w:rFonts w:ascii="Arial" w:hAnsi="Arial" w:cs="Arial"/>
          <w:sz w:val="22"/>
          <w:szCs w:val="22"/>
        </w:rPr>
        <w:endnoteRef/>
      </w:r>
      <w:r w:rsidRPr="005D7EEC">
        <w:rPr>
          <w:rFonts w:ascii="Arial" w:hAnsi="Arial" w:cs="Arial"/>
          <w:sz w:val="22"/>
          <w:szCs w:val="22"/>
        </w:rPr>
        <w:t xml:space="preserve"> Sabine Coady Schäbitz, ‘A Controversial Heritage: New Towns and the Problematic Legacy of Modernism’, in </w:t>
      </w:r>
      <w:r w:rsidRPr="005D7EEC">
        <w:rPr>
          <w:rFonts w:ascii="Arial" w:hAnsi="Arial" w:cs="Arial"/>
          <w:i/>
          <w:iCs/>
          <w:sz w:val="22"/>
          <w:szCs w:val="22"/>
        </w:rPr>
        <w:t>Lessons from British and French New Towns: Paradise Lost?</w:t>
      </w:r>
      <w:r w:rsidRPr="005D7EEC">
        <w:rPr>
          <w:rFonts w:ascii="Arial" w:hAnsi="Arial" w:cs="Arial"/>
          <w:sz w:val="22"/>
          <w:szCs w:val="22"/>
        </w:rPr>
        <w:t>, ed. by David Fée, Bob Colenutt and Sabine Coady Schäbitz (Emerald Publishing Limited, 2020), pp. 233-254</w:t>
      </w:r>
    </w:p>
  </w:endnote>
  <w:endnote w:id="84">
    <w:p w14:paraId="6255BF53"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Stéphanie </w:t>
      </w:r>
      <w:r w:rsidRPr="005D7EEC">
        <w:rPr>
          <w:rFonts w:eastAsia="Aptos" w:cs="Arial"/>
          <w:color w:val="000000" w:themeColor="text1"/>
          <w:sz w:val="22"/>
          <w:szCs w:val="22"/>
        </w:rPr>
        <w:t>Vermeersch,</w:t>
      </w:r>
      <w:r w:rsidRPr="005D7EEC">
        <w:rPr>
          <w:rFonts w:cs="Arial"/>
          <w:sz w:val="22"/>
          <w:szCs w:val="22"/>
        </w:rPr>
        <w:t xml:space="preserve"> </w:t>
      </w:r>
      <w:r w:rsidRPr="005D7EEC">
        <w:rPr>
          <w:rFonts w:eastAsia="Aptos" w:cs="Arial"/>
          <w:color w:val="000000" w:themeColor="text1"/>
          <w:sz w:val="22"/>
          <w:szCs w:val="22"/>
        </w:rPr>
        <w:t xml:space="preserve">Amélie Flamand, Isabelle Chesneau and Véronique Biau, ‘The socio-urban project of new cities: experimentation and obsolescence’, Research report, </w:t>
      </w:r>
      <w:r w:rsidRPr="005D7EEC">
        <w:rPr>
          <w:rFonts w:cs="Arial"/>
          <w:sz w:val="22"/>
          <w:szCs w:val="22"/>
          <w:lang w:val="en-US"/>
        </w:rPr>
        <w:t>VN-2003-VER, Ministère de la culture et de la communication / Bureau de la recherche architecturale et urbaine (BRAU); Ecole nationale supérieure d’architecture Paris Val-de-Seine; Laboratoire des organisations urbaines: Espaces, Sociétés, Temporalités (LOUEST). (2005). hal-01824933</w:t>
      </w:r>
    </w:p>
  </w:endnote>
  <w:endnote w:id="85">
    <w:p w14:paraId="0E99AC3F"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Camille </w:t>
      </w:r>
      <w:r w:rsidRPr="005D7EEC">
        <w:rPr>
          <w:rFonts w:eastAsia="Aptos" w:cs="Arial"/>
          <w:color w:val="000000" w:themeColor="text1"/>
          <w:sz w:val="22"/>
          <w:szCs w:val="22"/>
        </w:rPr>
        <w:t xml:space="preserve">Le Bivic and Romain Melot, ‘Scheduling urbanization in rural municipalities: Local practices in land-use planning on the fringes of the Paris region’. </w:t>
      </w:r>
      <w:r w:rsidRPr="005D7EEC">
        <w:rPr>
          <w:rFonts w:eastAsia="Aptos" w:cs="Arial"/>
          <w:i/>
          <w:iCs/>
          <w:color w:val="000000" w:themeColor="text1"/>
          <w:sz w:val="22"/>
          <w:szCs w:val="22"/>
        </w:rPr>
        <w:t>Land Use Policy</w:t>
      </w:r>
      <w:r w:rsidRPr="005D7EEC">
        <w:rPr>
          <w:rFonts w:eastAsia="Aptos" w:cs="Arial"/>
          <w:color w:val="000000" w:themeColor="text1"/>
          <w:sz w:val="22"/>
          <w:szCs w:val="22"/>
        </w:rPr>
        <w:t>, 99 (2020), p.105040.</w:t>
      </w:r>
    </w:p>
  </w:endnote>
  <w:endnote w:id="86">
    <w:p w14:paraId="38719F3D"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Antoine </w:t>
      </w:r>
      <w:r w:rsidRPr="005D7EEC">
        <w:rPr>
          <w:rFonts w:eastAsia="Aptos" w:cs="Arial"/>
          <w:color w:val="000000" w:themeColor="text1"/>
          <w:sz w:val="22"/>
          <w:szCs w:val="22"/>
        </w:rPr>
        <w:t xml:space="preserve">Haumont and Isabelle Chesneau, ‘La mixité sociale programmée dans les villes nouvelles. Les exemples de Cergy-Pontoise et de Marne-la-Vallée’. </w:t>
      </w:r>
      <w:r w:rsidRPr="005D7EEC">
        <w:rPr>
          <w:rFonts w:eastAsia="Aptos" w:cs="Arial"/>
          <w:i/>
          <w:iCs/>
          <w:color w:val="000000" w:themeColor="text1"/>
          <w:sz w:val="22"/>
          <w:szCs w:val="22"/>
        </w:rPr>
        <w:t>Les Annales de la recherche urbaine</w:t>
      </w:r>
      <w:r w:rsidRPr="005D7EEC">
        <w:rPr>
          <w:rFonts w:eastAsia="Aptos" w:cs="Arial"/>
          <w:color w:val="000000" w:themeColor="text1"/>
          <w:sz w:val="22"/>
          <w:szCs w:val="22"/>
        </w:rPr>
        <w:t>, 98 (2005), pp. 83-87.</w:t>
      </w:r>
    </w:p>
  </w:endnote>
  <w:endnote w:id="87">
    <w:p w14:paraId="79F6C365"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Quentin </w:t>
      </w:r>
      <w:r w:rsidRPr="005D7EEC">
        <w:rPr>
          <w:rFonts w:eastAsia="Aptos" w:cs="Arial"/>
          <w:color w:val="000000" w:themeColor="text1"/>
          <w:sz w:val="22"/>
          <w:szCs w:val="22"/>
        </w:rPr>
        <w:t xml:space="preserve">Ramond, ‘The politics of social mix in the Paris metropolitan area’. </w:t>
      </w:r>
      <w:r w:rsidRPr="005D7EEC">
        <w:rPr>
          <w:rFonts w:eastAsia="Aptos" w:cs="Arial"/>
          <w:i/>
          <w:iCs/>
          <w:color w:val="000000" w:themeColor="text1"/>
          <w:sz w:val="22"/>
          <w:szCs w:val="22"/>
        </w:rPr>
        <w:t>Housing studies</w:t>
      </w:r>
      <w:r w:rsidRPr="005D7EEC">
        <w:rPr>
          <w:rFonts w:eastAsia="Aptos" w:cs="Arial"/>
          <w:color w:val="000000" w:themeColor="text1"/>
          <w:sz w:val="22"/>
          <w:szCs w:val="22"/>
        </w:rPr>
        <w:t>, 39.2 (2022), pp. 419-437.</w:t>
      </w:r>
    </w:p>
  </w:endnote>
  <w:endnote w:id="88">
    <w:p w14:paraId="0AB2EA89"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Stéphanie </w:t>
      </w:r>
      <w:r w:rsidRPr="005D7EEC">
        <w:rPr>
          <w:rFonts w:eastAsia="Aptos" w:cs="Arial"/>
          <w:color w:val="000000" w:themeColor="text1"/>
          <w:sz w:val="22"/>
          <w:szCs w:val="22"/>
        </w:rPr>
        <w:t>Vermeersch,</w:t>
      </w:r>
      <w:r w:rsidRPr="005D7EEC">
        <w:rPr>
          <w:rFonts w:cs="Arial"/>
          <w:sz w:val="22"/>
          <w:szCs w:val="22"/>
        </w:rPr>
        <w:t xml:space="preserve"> </w:t>
      </w:r>
      <w:r w:rsidRPr="005D7EEC">
        <w:rPr>
          <w:rFonts w:eastAsia="Aptos" w:cs="Arial"/>
          <w:color w:val="000000" w:themeColor="text1"/>
          <w:sz w:val="22"/>
          <w:szCs w:val="22"/>
        </w:rPr>
        <w:t xml:space="preserve">Amélie Flamand, Isabelle Chesneau and Véronique Biau, ‘The socio-urban project of new cities: experimentation and obsolescence’, Research report, </w:t>
      </w:r>
      <w:r w:rsidRPr="005D7EEC">
        <w:rPr>
          <w:rFonts w:cs="Arial"/>
          <w:sz w:val="22"/>
          <w:szCs w:val="22"/>
          <w:lang w:val="en-US"/>
        </w:rPr>
        <w:t>VN-2003-VER, Ministère de la culture et de la communication / Bureau de la recherche architecturale et urbaine (BRAU); Ecole nationale supérieure d’architecture Paris Val-de-Seine; Laboratoire des organisations urbaines: Espaces, Sociétés, Temporalités (LOUEST). (2005). hal-01824933</w:t>
      </w:r>
    </w:p>
  </w:endnote>
  <w:endnote w:id="89">
    <w:p w14:paraId="0CDC5287"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Antoine </w:t>
      </w:r>
      <w:r w:rsidRPr="005D7EEC">
        <w:rPr>
          <w:rFonts w:eastAsia="Aptos" w:cs="Arial"/>
          <w:color w:val="000000" w:themeColor="text1"/>
          <w:sz w:val="22"/>
          <w:szCs w:val="22"/>
        </w:rPr>
        <w:t xml:space="preserve">Haumont and Isabelle Chesneau, ‘La mixité sociale programmée dans les villes nouvelles. Les exemples de Cergy-Pontoise et de Marne-la-Vallée’. </w:t>
      </w:r>
      <w:r w:rsidRPr="005D7EEC">
        <w:rPr>
          <w:rFonts w:eastAsia="Aptos" w:cs="Arial"/>
          <w:i/>
          <w:iCs/>
          <w:color w:val="000000" w:themeColor="text1"/>
          <w:sz w:val="22"/>
          <w:szCs w:val="22"/>
        </w:rPr>
        <w:t>Les Annales de la recherche urbaine</w:t>
      </w:r>
      <w:r w:rsidRPr="005D7EEC">
        <w:rPr>
          <w:rFonts w:eastAsia="Aptos" w:cs="Arial"/>
          <w:color w:val="000000" w:themeColor="text1"/>
          <w:sz w:val="22"/>
          <w:szCs w:val="22"/>
        </w:rPr>
        <w:t>, 98 (2005), pp. 83-87.</w:t>
      </w:r>
    </w:p>
  </w:endnote>
  <w:endnote w:id="90">
    <w:p w14:paraId="7B56C6D4"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Stéphanie </w:t>
      </w:r>
      <w:r w:rsidRPr="005D7EEC">
        <w:rPr>
          <w:rFonts w:eastAsia="Aptos" w:cs="Arial"/>
          <w:color w:val="000000" w:themeColor="text1"/>
          <w:sz w:val="22"/>
          <w:szCs w:val="22"/>
        </w:rPr>
        <w:t>Vermeersch,</w:t>
      </w:r>
      <w:r w:rsidRPr="005D7EEC">
        <w:rPr>
          <w:rFonts w:cs="Arial"/>
          <w:sz w:val="22"/>
          <w:szCs w:val="22"/>
        </w:rPr>
        <w:t xml:space="preserve"> </w:t>
      </w:r>
      <w:r w:rsidRPr="005D7EEC">
        <w:rPr>
          <w:rFonts w:eastAsia="Aptos" w:cs="Arial"/>
          <w:color w:val="000000" w:themeColor="text1"/>
          <w:sz w:val="22"/>
          <w:szCs w:val="22"/>
        </w:rPr>
        <w:t xml:space="preserve">Amélie Flamand, Isabelle Chesneau and Véronique Biau, ‘The socio-urban project of new cities: experimentation and obsolescence’, Research report, </w:t>
      </w:r>
      <w:r w:rsidRPr="005D7EEC">
        <w:rPr>
          <w:rFonts w:cs="Arial"/>
          <w:sz w:val="22"/>
          <w:szCs w:val="22"/>
          <w:lang w:val="en-US"/>
        </w:rPr>
        <w:t>VN-2003-VER, Ministère de la culture et de la communication / Bureau de la recherche architecturale et urbaine (BRAU); Ecole nationale supérieure d’architecture Paris Val-de-Seine; Laboratoire des organisations urbaines: Espaces, Sociétés, Temporalités (LOUEST). (2005). hal-01824933</w:t>
      </w:r>
    </w:p>
  </w:endnote>
  <w:endnote w:id="91">
    <w:p w14:paraId="4B169F49"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lang w:val="fr-FR"/>
        </w:rPr>
        <w:endnoteRef/>
      </w:r>
      <w:r w:rsidRPr="005D7EEC">
        <w:rPr>
          <w:rFonts w:eastAsia="Aptos" w:cs="Arial"/>
          <w:sz w:val="22"/>
          <w:szCs w:val="22"/>
          <w:lang w:val="fr-FR"/>
        </w:rPr>
        <w:t xml:space="preserve"> Elżbieta </w:t>
      </w:r>
      <w:r w:rsidRPr="005D7EEC">
        <w:rPr>
          <w:rFonts w:eastAsia="Aptos" w:cs="Arial"/>
          <w:color w:val="000000" w:themeColor="text1"/>
          <w:sz w:val="22"/>
          <w:szCs w:val="22"/>
          <w:lang w:val="fr-FR"/>
        </w:rPr>
        <w:t xml:space="preserve">Muszyńska and Elżbieta Tomaszewska-Taton, ‘Val d’Europe–ville du XXI siècle’. </w:t>
      </w:r>
      <w:r w:rsidRPr="005D7EEC">
        <w:rPr>
          <w:rFonts w:eastAsia="Aptos" w:cs="Arial"/>
          <w:i/>
          <w:iCs/>
          <w:color w:val="000000" w:themeColor="text1"/>
          <w:sz w:val="22"/>
          <w:szCs w:val="22"/>
          <w:lang w:val="fr-FR"/>
        </w:rPr>
        <w:t>MAZOWSZE Studia Regionalne</w:t>
      </w:r>
      <w:r w:rsidRPr="005D7EEC">
        <w:rPr>
          <w:rFonts w:eastAsia="Aptos" w:cs="Arial"/>
          <w:color w:val="000000" w:themeColor="text1"/>
          <w:sz w:val="22"/>
          <w:szCs w:val="22"/>
          <w:lang w:val="fr-FR"/>
        </w:rPr>
        <w:t>, 30 (2019), pp. 11-32.</w:t>
      </w:r>
    </w:p>
  </w:endnote>
  <w:endnote w:id="92">
    <w:p w14:paraId="3DE99F7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Anne-Marie d’Hauteserre, ‘Val d’Europe: A pioneering turn to ‘experience’ planning?’. </w:t>
      </w:r>
      <w:r w:rsidRPr="005D7EEC">
        <w:rPr>
          <w:rFonts w:eastAsia="Aptos" w:cs="Arial"/>
          <w:i/>
          <w:iCs/>
          <w:color w:val="000000" w:themeColor="text1"/>
          <w:sz w:val="22"/>
          <w:szCs w:val="22"/>
        </w:rPr>
        <w:t>European Urban and Regional Studies</w:t>
      </w:r>
      <w:r w:rsidRPr="005D7EEC">
        <w:rPr>
          <w:rFonts w:eastAsia="Aptos" w:cs="Arial"/>
          <w:color w:val="000000" w:themeColor="text1"/>
          <w:sz w:val="22"/>
          <w:szCs w:val="22"/>
        </w:rPr>
        <w:t>, 20:4 (2012), pp. 435-446.</w:t>
      </w:r>
    </w:p>
  </w:endnote>
  <w:endnote w:id="93">
    <w:p w14:paraId="469874CC"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sz w:val="22"/>
          <w:szCs w:val="22"/>
          <w:lang w:val="fr-FR"/>
        </w:rPr>
        <w:t xml:space="preserve">Elżbieta </w:t>
      </w:r>
      <w:r w:rsidRPr="005D7EEC">
        <w:rPr>
          <w:rFonts w:eastAsia="Aptos" w:cs="Arial"/>
          <w:color w:val="000000" w:themeColor="text1"/>
          <w:sz w:val="22"/>
          <w:szCs w:val="22"/>
          <w:lang w:val="fr-FR"/>
        </w:rPr>
        <w:t xml:space="preserve">Muszyńska and Elżbieta Tomaszewska-Taton, ‘Val d’Europe–ville du XXI siècle’. </w:t>
      </w:r>
      <w:r w:rsidRPr="005D7EEC">
        <w:rPr>
          <w:rFonts w:eastAsia="Aptos" w:cs="Arial"/>
          <w:i/>
          <w:iCs/>
          <w:color w:val="000000" w:themeColor="text1"/>
          <w:sz w:val="22"/>
          <w:szCs w:val="22"/>
          <w:lang w:val="fr-FR"/>
        </w:rPr>
        <w:t>MAZOWSZE Studia Regionalne</w:t>
      </w:r>
      <w:r w:rsidRPr="005D7EEC">
        <w:rPr>
          <w:rFonts w:eastAsia="Aptos" w:cs="Arial"/>
          <w:color w:val="000000" w:themeColor="text1"/>
          <w:sz w:val="22"/>
          <w:szCs w:val="22"/>
          <w:lang w:val="fr-FR"/>
        </w:rPr>
        <w:t>, 30 (2019), pp. 11-32.</w:t>
      </w:r>
    </w:p>
  </w:endnote>
  <w:endnote w:id="94">
    <w:p w14:paraId="61C58FA6"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sz w:val="22"/>
          <w:szCs w:val="22"/>
          <w:lang w:val="fr-FR"/>
        </w:rPr>
        <w:t xml:space="preserve">Elżbieta </w:t>
      </w:r>
      <w:r w:rsidRPr="005D7EEC">
        <w:rPr>
          <w:rFonts w:eastAsia="Aptos" w:cs="Arial"/>
          <w:color w:val="000000" w:themeColor="text1"/>
          <w:sz w:val="22"/>
          <w:szCs w:val="22"/>
          <w:lang w:val="fr-FR"/>
        </w:rPr>
        <w:t xml:space="preserve">Muszyńska and Elżbieta Tomaszewska-Taton, ‘Val d’Europe–ville du XXI siècle’. </w:t>
      </w:r>
      <w:r w:rsidRPr="005D7EEC">
        <w:rPr>
          <w:rFonts w:eastAsia="Aptos" w:cs="Arial"/>
          <w:i/>
          <w:iCs/>
          <w:color w:val="000000" w:themeColor="text1"/>
          <w:sz w:val="22"/>
          <w:szCs w:val="22"/>
          <w:lang w:val="fr-FR"/>
        </w:rPr>
        <w:t>MAZOWSZE Studia Regionalne</w:t>
      </w:r>
      <w:r w:rsidRPr="005D7EEC">
        <w:rPr>
          <w:rFonts w:eastAsia="Aptos" w:cs="Arial"/>
          <w:color w:val="000000" w:themeColor="text1"/>
          <w:sz w:val="22"/>
          <w:szCs w:val="22"/>
          <w:lang w:val="fr-FR"/>
        </w:rPr>
        <w:t>, 30 (2019), pp. 11-32.</w:t>
      </w:r>
      <w:r w:rsidRPr="005D7EEC">
        <w:rPr>
          <w:rFonts w:eastAsia="Aptos" w:cs="Arial"/>
          <w:color w:val="000000" w:themeColor="text1"/>
          <w:sz w:val="22"/>
          <w:szCs w:val="22"/>
        </w:rPr>
        <w:t>, citing Borez</w:t>
      </w:r>
      <w:r w:rsidRPr="005D7EEC">
        <w:rPr>
          <w:rFonts w:eastAsia="Aptos" w:cs="Arial"/>
          <w:color w:val="000000" w:themeColor="text1"/>
          <w:sz w:val="22"/>
          <w:szCs w:val="22"/>
          <w:lang w:val="fr-FR"/>
        </w:rPr>
        <w:t>é</w:t>
      </w:r>
      <w:r w:rsidRPr="005D7EEC">
        <w:rPr>
          <w:rFonts w:eastAsia="Aptos" w:cs="Arial"/>
          <w:color w:val="000000" w:themeColor="text1"/>
          <w:sz w:val="22"/>
          <w:szCs w:val="22"/>
        </w:rPr>
        <w:t>e, 2010.</w:t>
      </w:r>
    </w:p>
  </w:endnote>
  <w:endnote w:id="95">
    <w:p w14:paraId="7324AF77" w14:textId="77777777" w:rsidR="009518E9" w:rsidRPr="005D7EEC" w:rsidRDefault="009518E9" w:rsidP="009518E9">
      <w:pPr>
        <w:pStyle w:val="EndnoteText"/>
        <w:spacing w:after="120" w:line="276" w:lineRule="auto"/>
        <w:rPr>
          <w:rFonts w:eastAsia="Aptos" w:cs="Arial"/>
          <w:color w:val="000000" w:themeColor="text1"/>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Jean-François Ruault, ‘Beyond tourism-based economic development: city-regions and transient custom’, </w:t>
      </w:r>
      <w:r w:rsidRPr="005D7EEC">
        <w:rPr>
          <w:rFonts w:eastAsia="Aptos" w:cs="Arial"/>
          <w:i/>
          <w:iCs/>
          <w:color w:val="000000" w:themeColor="text1"/>
          <w:sz w:val="22"/>
          <w:szCs w:val="22"/>
        </w:rPr>
        <w:t>Regional Studies</w:t>
      </w:r>
      <w:r w:rsidRPr="005D7EEC">
        <w:rPr>
          <w:rFonts w:eastAsia="Aptos" w:cs="Arial"/>
          <w:color w:val="000000" w:themeColor="text1"/>
          <w:sz w:val="22"/>
          <w:szCs w:val="22"/>
        </w:rPr>
        <w:t xml:space="preserve">, 52:8 (2018), p.1124.  </w:t>
      </w:r>
    </w:p>
  </w:endnote>
  <w:endnote w:id="96">
    <w:p w14:paraId="616C521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lang w:val="fr-FR"/>
        </w:rPr>
        <w:endnoteRef/>
      </w:r>
      <w:r w:rsidRPr="005D7EEC">
        <w:rPr>
          <w:rFonts w:eastAsia="Aptos" w:cs="Arial"/>
          <w:sz w:val="22"/>
          <w:szCs w:val="22"/>
          <w:lang w:val="fr-FR"/>
        </w:rPr>
        <w:t xml:space="preserve"> Valérie </w:t>
      </w:r>
      <w:r w:rsidRPr="005D7EEC">
        <w:rPr>
          <w:rFonts w:eastAsia="Aptos" w:cs="Arial"/>
          <w:color w:val="000000" w:themeColor="text1"/>
          <w:sz w:val="22"/>
          <w:szCs w:val="22"/>
          <w:lang w:val="fr-FR"/>
        </w:rPr>
        <w:t xml:space="preserve">Foucher-Dufoix and Vanessa Fernandez, ‘Quelle discordance des temps fabriquons-nous? Le succès des styles «néo» architecturaux, décors et projet de société dans le Grand Paris’. </w:t>
      </w:r>
      <w:r w:rsidRPr="005D7EEC">
        <w:rPr>
          <w:rFonts w:eastAsia="Aptos" w:cs="Arial"/>
          <w:i/>
          <w:iCs/>
          <w:color w:val="000000" w:themeColor="text1"/>
          <w:sz w:val="22"/>
          <w:szCs w:val="22"/>
          <w:lang w:val="fr-FR"/>
        </w:rPr>
        <w:t>Textes et contextes</w:t>
      </w:r>
      <w:r w:rsidRPr="005D7EEC">
        <w:rPr>
          <w:rFonts w:eastAsia="Aptos" w:cs="Arial"/>
          <w:color w:val="000000" w:themeColor="text1"/>
          <w:sz w:val="22"/>
          <w:szCs w:val="22"/>
          <w:lang w:val="fr-FR"/>
        </w:rPr>
        <w:t xml:space="preserve">, 17 :1 (2022). </w:t>
      </w:r>
    </w:p>
  </w:endnote>
  <w:endnote w:id="97">
    <w:p w14:paraId="1396A29D"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sz w:val="22"/>
          <w:szCs w:val="22"/>
          <w:lang w:val="fr-FR"/>
        </w:rPr>
        <w:t xml:space="preserve">Valérie </w:t>
      </w:r>
      <w:r w:rsidRPr="005D7EEC">
        <w:rPr>
          <w:rFonts w:eastAsia="Aptos" w:cs="Arial"/>
          <w:color w:val="000000" w:themeColor="text1"/>
          <w:sz w:val="22"/>
          <w:szCs w:val="22"/>
          <w:lang w:val="fr-FR"/>
        </w:rPr>
        <w:t xml:space="preserve">Foucher-Dufoix and Vanessa Fernandez, ‘Quelle discordance des temps fabriquons-nous? Le succès des styles «néo» architecturaux, décors et projet de société dans le Grand Paris’. </w:t>
      </w:r>
      <w:r w:rsidRPr="005D7EEC">
        <w:rPr>
          <w:rFonts w:eastAsia="Aptos" w:cs="Arial"/>
          <w:i/>
          <w:iCs/>
          <w:color w:val="000000" w:themeColor="text1"/>
          <w:sz w:val="22"/>
          <w:szCs w:val="22"/>
          <w:lang w:val="fr-FR"/>
        </w:rPr>
        <w:t>Textes et contextes</w:t>
      </w:r>
      <w:r w:rsidRPr="005D7EEC">
        <w:rPr>
          <w:rFonts w:eastAsia="Aptos" w:cs="Arial"/>
          <w:color w:val="000000" w:themeColor="text1"/>
          <w:sz w:val="22"/>
          <w:szCs w:val="22"/>
          <w:lang w:val="fr-FR"/>
        </w:rPr>
        <w:t xml:space="preserve">, 17 :1 (2022). </w:t>
      </w:r>
    </w:p>
  </w:endnote>
  <w:endnote w:id="98">
    <w:p w14:paraId="14E91B7B"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Ganeshwari Singh, Simrit Kahlon and Vishwa Bandhu Singh Chandel, ‘Political Discourse and the Planned City: Nehru’s Projection and Appropriation of Chandigarh, the Capital of Punjab’, </w:t>
      </w:r>
      <w:r w:rsidRPr="005D7EEC">
        <w:rPr>
          <w:rFonts w:cs="Arial"/>
          <w:i/>
          <w:iCs/>
          <w:sz w:val="22"/>
          <w:szCs w:val="22"/>
        </w:rPr>
        <w:t>Annals of the American Association of Geographers</w:t>
      </w:r>
      <w:r w:rsidRPr="005D7EEC">
        <w:rPr>
          <w:rFonts w:cs="Arial"/>
          <w:sz w:val="22"/>
          <w:szCs w:val="22"/>
        </w:rPr>
        <w:t xml:space="preserve"> (2019), p1226.</w:t>
      </w:r>
    </w:p>
  </w:endnote>
  <w:endnote w:id="99">
    <w:p w14:paraId="4DD00B3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Peter Fitting, ‘Urban Planning/Utopian Dreaming: Le Corbusier's Chandigarh Today’, </w:t>
      </w:r>
      <w:r w:rsidRPr="005D7EEC">
        <w:rPr>
          <w:rFonts w:cs="Arial"/>
          <w:i/>
          <w:iCs/>
          <w:sz w:val="22"/>
          <w:szCs w:val="22"/>
        </w:rPr>
        <w:t>Utopian Studies</w:t>
      </w:r>
      <w:r w:rsidRPr="005D7EEC">
        <w:rPr>
          <w:rFonts w:cs="Arial"/>
          <w:sz w:val="22"/>
          <w:szCs w:val="22"/>
        </w:rPr>
        <w:t>, 13.1 (2022), pp. 69-93</w:t>
      </w:r>
    </w:p>
  </w:endnote>
  <w:endnote w:id="100">
    <w:p w14:paraId="414BD69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hyperlink r:id="rId16" w:anchor=":~:text=With percent20the percent20partition percent20in percent20the,called percent20Chandigarh percent20about percent20240 percent20kms" w:history="1">
        <w:r w:rsidRPr="005D7EEC">
          <w:rPr>
            <w:rStyle w:val="Hyperlink"/>
            <w:rFonts w:cs="Arial"/>
            <w:sz w:val="22"/>
            <w:szCs w:val="22"/>
          </w:rPr>
          <w:t>HISTORICAL BACKGROUND</w:t>
        </w:r>
      </w:hyperlink>
      <w:r w:rsidRPr="005D7EEC">
        <w:rPr>
          <w:rFonts w:cs="Arial"/>
          <w:sz w:val="22"/>
          <w:szCs w:val="22"/>
        </w:rPr>
        <w:t>, Chandigarh, The official website of the Chandigarh Administration (no date) [accessed 09/11/2025]</w:t>
      </w:r>
    </w:p>
  </w:endnote>
  <w:endnote w:id="101">
    <w:p w14:paraId="15731D0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Nihal Perera, ‘Contesting visions: hybridity, liminality and authorship of the Chandigarh plan’, </w:t>
      </w:r>
      <w:r w:rsidRPr="005D7EEC">
        <w:rPr>
          <w:rFonts w:cs="Arial"/>
          <w:i/>
          <w:iCs/>
          <w:sz w:val="22"/>
          <w:szCs w:val="22"/>
        </w:rPr>
        <w:t>Planning Perspectives</w:t>
      </w:r>
      <w:r w:rsidRPr="005D7EEC">
        <w:rPr>
          <w:rFonts w:cs="Arial"/>
          <w:sz w:val="22"/>
          <w:szCs w:val="22"/>
        </w:rPr>
        <w:t>, Routledge, 19.2 (2004), pp. 175-199.</w:t>
      </w:r>
    </w:p>
  </w:endnote>
  <w:endnote w:id="102">
    <w:p w14:paraId="7C2CFFF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Nihal Perera, ‘Contesting visions: hybridity, liminality and authorship of the Chandigarh plan’, </w:t>
      </w:r>
      <w:r w:rsidRPr="005D7EEC">
        <w:rPr>
          <w:rFonts w:cs="Arial"/>
          <w:i/>
          <w:iCs/>
          <w:sz w:val="22"/>
          <w:szCs w:val="22"/>
        </w:rPr>
        <w:t>Planning Perspectives</w:t>
      </w:r>
      <w:r w:rsidRPr="005D7EEC">
        <w:rPr>
          <w:rFonts w:cs="Arial"/>
          <w:sz w:val="22"/>
          <w:szCs w:val="22"/>
        </w:rPr>
        <w:t>, Routledge, 19.2 (2004), pp. 175-199.</w:t>
      </w:r>
    </w:p>
  </w:endnote>
  <w:endnote w:id="103">
    <w:p w14:paraId="65647494"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Nihal Perera, ‘Contesting visions: hybridity, liminality and authorship of the Chandigarh plan’, </w:t>
      </w:r>
      <w:r w:rsidRPr="005D7EEC">
        <w:rPr>
          <w:rFonts w:cs="Arial"/>
          <w:i/>
          <w:iCs/>
          <w:sz w:val="22"/>
          <w:szCs w:val="22"/>
        </w:rPr>
        <w:t>Planning Perspectives</w:t>
      </w:r>
      <w:r w:rsidRPr="005D7EEC">
        <w:rPr>
          <w:rFonts w:cs="Arial"/>
          <w:sz w:val="22"/>
          <w:szCs w:val="22"/>
        </w:rPr>
        <w:t>, Routledge, 19.2 (2004), pp. 175-199.</w:t>
      </w:r>
    </w:p>
  </w:endnote>
  <w:endnote w:id="104">
    <w:p w14:paraId="59D9477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Architectuul, </w:t>
      </w:r>
      <w:hyperlink r:id="rId17" w:history="1">
        <w:r w:rsidRPr="005D7EEC">
          <w:rPr>
            <w:rStyle w:val="Hyperlink"/>
            <w:rFonts w:cs="Arial"/>
            <w:sz w:val="22"/>
            <w:szCs w:val="22"/>
          </w:rPr>
          <w:t>'City of Chandigarh'</w:t>
        </w:r>
      </w:hyperlink>
      <w:r w:rsidRPr="005D7EEC">
        <w:rPr>
          <w:rFonts w:cs="Arial"/>
          <w:sz w:val="22"/>
          <w:szCs w:val="22"/>
        </w:rPr>
        <w:t>, Architectuul [accessed 09/11/2025]</w:t>
      </w:r>
    </w:p>
  </w:endnote>
  <w:endnote w:id="105">
    <w:p w14:paraId="7F97FADE"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06">
    <w:p w14:paraId="048017E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‘Chandigarh: City and Periphery’, </w:t>
      </w:r>
      <w:r w:rsidRPr="005D7EEC">
        <w:rPr>
          <w:rFonts w:cs="Arial"/>
          <w:i/>
          <w:iCs/>
          <w:sz w:val="22"/>
          <w:szCs w:val="22"/>
        </w:rPr>
        <w:t>Journal of Planning History</w:t>
      </w:r>
      <w:r w:rsidRPr="005D7EEC">
        <w:rPr>
          <w:rFonts w:cs="Arial"/>
          <w:sz w:val="22"/>
          <w:szCs w:val="22"/>
        </w:rPr>
        <w:t>, 14 (2014), pp. 62-84.</w:t>
      </w:r>
    </w:p>
  </w:endnote>
  <w:endnote w:id="107">
    <w:p w14:paraId="4121B92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Andreea Cutieru, ‘</w:t>
      </w:r>
      <w:hyperlink r:id="rId18" w:history="1">
        <w:r w:rsidRPr="005D7EEC">
          <w:rPr>
            <w:rStyle w:val="Hyperlink"/>
            <w:rFonts w:cs="Arial"/>
            <w:sz w:val="22"/>
            <w:szCs w:val="22"/>
          </w:rPr>
          <w:t>Modernist Chandigarh Through the Lens of Roberto Conte’</w:t>
        </w:r>
      </w:hyperlink>
      <w:r w:rsidRPr="005D7EEC">
        <w:rPr>
          <w:rFonts w:cs="Arial"/>
          <w:sz w:val="22"/>
          <w:szCs w:val="22"/>
        </w:rPr>
        <w:t>, ArchDaily, 14 March 2020 [accessed 09/11/2025]</w:t>
      </w:r>
    </w:p>
  </w:endnote>
  <w:endnote w:id="108">
    <w:p w14:paraId="45C81A6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Jason Sayer, </w:t>
      </w:r>
      <w:hyperlink r:id="rId19" w:history="1">
        <w:r w:rsidRPr="005D7EEC">
          <w:rPr>
            <w:rStyle w:val="Hyperlink"/>
            <w:rFonts w:cs="Arial"/>
            <w:sz w:val="22"/>
            <w:szCs w:val="22"/>
          </w:rPr>
          <w:t>‘City of Chandigarh, India by Le Corbusier’</w:t>
        </w:r>
      </w:hyperlink>
      <w:r w:rsidRPr="005D7EEC">
        <w:rPr>
          <w:rFonts w:cs="Arial"/>
          <w:sz w:val="22"/>
          <w:szCs w:val="22"/>
        </w:rPr>
        <w:t xml:space="preserve">, </w:t>
      </w:r>
      <w:r w:rsidRPr="005D7EEC">
        <w:rPr>
          <w:rFonts w:cs="Arial"/>
          <w:i/>
          <w:iCs/>
          <w:sz w:val="22"/>
          <w:szCs w:val="22"/>
        </w:rPr>
        <w:t>Architecture Today</w:t>
      </w:r>
      <w:r w:rsidRPr="005D7EEC">
        <w:rPr>
          <w:rFonts w:cs="Arial"/>
          <w:sz w:val="22"/>
          <w:szCs w:val="22"/>
        </w:rPr>
        <w:t>, 2025 [accessed 22/10/2025]</w:t>
      </w:r>
    </w:p>
  </w:endnote>
  <w:endnote w:id="109">
    <w:p w14:paraId="28A8CA9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Jason Sayer, </w:t>
      </w:r>
      <w:hyperlink r:id="rId20" w:history="1">
        <w:r w:rsidRPr="005D7EEC">
          <w:rPr>
            <w:rStyle w:val="Hyperlink"/>
            <w:rFonts w:cs="Arial"/>
            <w:sz w:val="22"/>
            <w:szCs w:val="22"/>
          </w:rPr>
          <w:t>‘City of Chandigarh, India by Le Corbusier’</w:t>
        </w:r>
      </w:hyperlink>
      <w:r w:rsidRPr="005D7EEC">
        <w:rPr>
          <w:rFonts w:cs="Arial"/>
          <w:sz w:val="22"/>
          <w:szCs w:val="22"/>
        </w:rPr>
        <w:t xml:space="preserve">, </w:t>
      </w:r>
      <w:r w:rsidRPr="005D7EEC">
        <w:rPr>
          <w:rFonts w:cs="Arial"/>
          <w:i/>
          <w:iCs/>
          <w:sz w:val="22"/>
          <w:szCs w:val="22"/>
        </w:rPr>
        <w:t>Architecture Today</w:t>
      </w:r>
      <w:r w:rsidRPr="005D7EEC">
        <w:rPr>
          <w:rFonts w:cs="Arial"/>
          <w:sz w:val="22"/>
          <w:szCs w:val="22"/>
        </w:rPr>
        <w:t>, 2025 [accessed 22/10/2025]</w:t>
      </w:r>
    </w:p>
  </w:endnote>
  <w:endnote w:id="110">
    <w:p w14:paraId="6E70C40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‘Chandigarh: City and Periphery,’ </w:t>
      </w:r>
      <w:r w:rsidRPr="005D7EEC">
        <w:rPr>
          <w:rFonts w:cs="Arial"/>
          <w:i/>
          <w:iCs/>
          <w:sz w:val="22"/>
          <w:szCs w:val="22"/>
        </w:rPr>
        <w:t>Journal of Planning History</w:t>
      </w:r>
      <w:r w:rsidRPr="005D7EEC">
        <w:rPr>
          <w:rFonts w:cs="Arial"/>
          <w:sz w:val="22"/>
          <w:szCs w:val="22"/>
        </w:rPr>
        <w:t>, 14, (2014), pp. 62-84.</w:t>
      </w:r>
    </w:p>
  </w:endnote>
  <w:endnote w:id="111">
    <w:p w14:paraId="771DB4E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12">
    <w:p w14:paraId="49B128AE"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13">
    <w:p w14:paraId="2C72685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14">
    <w:p w14:paraId="3C189B6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15">
    <w:p w14:paraId="170DBBA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16">
    <w:p w14:paraId="04E56A6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17">
    <w:p w14:paraId="702F1494"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Thejaswini Jagannath, ‘Public Space in Smart Cities: A Case Study of Chandigarh, India.’ Smart City Concept: 22. IGLUS Quarterly, 4.1 (2018), pp. 22-25</w:t>
      </w:r>
    </w:p>
  </w:endnote>
  <w:endnote w:id="118">
    <w:p w14:paraId="59356FF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19">
    <w:p w14:paraId="72146C4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Nitin Jain, </w:t>
      </w:r>
      <w:hyperlink r:id="rId21" w:history="1">
        <w:r w:rsidRPr="005D7EEC">
          <w:rPr>
            <w:rStyle w:val="Hyperlink"/>
            <w:rFonts w:cs="Arial"/>
            <w:sz w:val="22"/>
            <w:szCs w:val="22"/>
          </w:rPr>
          <w:t>'More Vehicles Than People in Chandigarh, Highest Density in Country'</w:t>
        </w:r>
      </w:hyperlink>
      <w:r w:rsidRPr="005D7EEC">
        <w:rPr>
          <w:rFonts w:cs="Arial"/>
          <w:sz w:val="22"/>
          <w:szCs w:val="22"/>
        </w:rPr>
        <w:t>, The Tribune, 30 June 2025 [accessed 09/11/2025]</w:t>
      </w:r>
    </w:p>
  </w:endnote>
  <w:endnote w:id="120">
    <w:p w14:paraId="1489F58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Juan Andres Rodríguez-Lora, Ana Rosado and Daniel Navas-Carrillo, ‘Le Corbusier’s urban planning as a cultural legacy: An approach to the case of Chandigarh’, </w:t>
      </w:r>
      <w:r w:rsidRPr="005D7EEC">
        <w:rPr>
          <w:rFonts w:cs="Arial"/>
          <w:i/>
          <w:iCs/>
          <w:sz w:val="22"/>
          <w:szCs w:val="22"/>
        </w:rPr>
        <w:t>Designs</w:t>
      </w:r>
      <w:r w:rsidRPr="005D7EEC">
        <w:rPr>
          <w:rFonts w:cs="Arial"/>
          <w:sz w:val="22"/>
          <w:szCs w:val="22"/>
        </w:rPr>
        <w:t>, (2021) pp. 1-23.</w:t>
      </w:r>
    </w:p>
  </w:endnote>
  <w:endnote w:id="121">
    <w:p w14:paraId="0B9DC01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22">
    <w:p w14:paraId="3DE02AF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23">
    <w:p w14:paraId="5BDC5CE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Hillary Victor, </w:t>
      </w:r>
      <w:hyperlink r:id="rId22" w:history="1">
        <w:r w:rsidRPr="005D7EEC">
          <w:rPr>
            <w:rStyle w:val="Hyperlink"/>
            <w:rFonts w:cs="Arial"/>
            <w:sz w:val="22"/>
            <w:szCs w:val="22"/>
          </w:rPr>
          <w:t>'With 9 percent Growth Since 2017, Half of Chandigarh Area Now Under Green Cover'</w:t>
        </w:r>
      </w:hyperlink>
      <w:r w:rsidRPr="005D7EEC">
        <w:rPr>
          <w:rFonts w:cs="Arial"/>
          <w:sz w:val="22"/>
          <w:szCs w:val="22"/>
        </w:rPr>
        <w:t>, Hindustan Times, 12 March 2024 [accessed  09/11/2025].</w:t>
      </w:r>
    </w:p>
  </w:endnote>
  <w:endnote w:id="124">
    <w:p w14:paraId="2FE505B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25">
    <w:p w14:paraId="0018809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Rosemary Wakeman, ‘Practicing Utopia: The Intellectual History of the New Town Movement’, University of Chicago Press (2016), p. 129.</w:t>
      </w:r>
    </w:p>
  </w:endnote>
  <w:endnote w:id="126">
    <w:p w14:paraId="4708FAAA" w14:textId="77777777" w:rsidR="009518E9" w:rsidRPr="005D7EEC" w:rsidRDefault="009518E9" w:rsidP="009518E9">
      <w:pPr>
        <w:pStyle w:val="EndnoteText"/>
        <w:spacing w:after="120" w:line="276" w:lineRule="auto"/>
        <w:rPr>
          <w:rFonts w:eastAsia="Helvetica" w:cs="Arial"/>
          <w:color w:val="11628D"/>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27">
    <w:p w14:paraId="3E852A3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28">
    <w:p w14:paraId="15B275E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Vinayk Bharne, ‘Le Corbusier’s Ruin: The Changing Face of Chandigarh’s Capitol’, </w:t>
      </w:r>
      <w:r w:rsidRPr="005D7EEC">
        <w:rPr>
          <w:rFonts w:cs="Arial"/>
          <w:i/>
          <w:iCs/>
          <w:sz w:val="22"/>
          <w:szCs w:val="22"/>
        </w:rPr>
        <w:t xml:space="preserve">Journal of Architectural Education </w:t>
      </w:r>
      <w:r w:rsidRPr="005D7EEC">
        <w:rPr>
          <w:rFonts w:cs="Arial"/>
          <w:sz w:val="22"/>
          <w:szCs w:val="22"/>
        </w:rPr>
        <w:t>(2011) p. 99.</w:t>
      </w:r>
    </w:p>
  </w:endnote>
  <w:endnote w:id="129">
    <w:p w14:paraId="7A60D4A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0">
    <w:p w14:paraId="6FCC344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1">
    <w:p w14:paraId="07FDBD6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2">
    <w:p w14:paraId="2C57711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3">
    <w:p w14:paraId="3199FE9B"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4">
    <w:p w14:paraId="7BC9613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35">
    <w:p w14:paraId="77A2695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36">
    <w:p w14:paraId="2CAF446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37">
    <w:p w14:paraId="5AE1217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38">
    <w:p w14:paraId="09CE264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39">
    <w:p w14:paraId="449F4D4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and Tyler S. Sprague, ‘Beyond Le Corbusier and the modernist city: reframing Chandigarh's ‘World Heritage’ legacy’, </w:t>
      </w:r>
      <w:r w:rsidRPr="005D7EEC">
        <w:rPr>
          <w:rFonts w:cs="Arial"/>
          <w:i/>
          <w:iCs/>
          <w:sz w:val="22"/>
          <w:szCs w:val="22"/>
        </w:rPr>
        <w:t>Planning Perspectives</w:t>
      </w:r>
      <w:r w:rsidRPr="005D7EEC">
        <w:rPr>
          <w:rFonts w:cs="Arial"/>
          <w:sz w:val="22"/>
          <w:szCs w:val="22"/>
        </w:rPr>
        <w:t>, (2012) p. 215.</w:t>
      </w:r>
    </w:p>
  </w:endnote>
  <w:endnote w:id="140">
    <w:p w14:paraId="2E6494AE"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Chalana and Sprague, ‘Beyond Le Corbusier and the modernist city: reframing Chandigarh's ‘World Heritage’ legacy’.</w:t>
      </w:r>
    </w:p>
  </w:endnote>
  <w:endnote w:id="141">
    <w:p w14:paraId="63A8A2A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and Tyler S. Sprague, ‘Beyond Le Corbusier and the modernist city: reframing Chandigarh's ‘World Heritage’ legacy’, </w:t>
      </w:r>
      <w:r w:rsidRPr="005D7EEC">
        <w:rPr>
          <w:rFonts w:cs="Arial"/>
          <w:i/>
          <w:iCs/>
          <w:sz w:val="22"/>
          <w:szCs w:val="22"/>
        </w:rPr>
        <w:t>Planning Perspectives</w:t>
      </w:r>
      <w:r w:rsidRPr="005D7EEC">
        <w:rPr>
          <w:rFonts w:cs="Arial"/>
          <w:sz w:val="22"/>
          <w:szCs w:val="22"/>
        </w:rPr>
        <w:t>, (2012) p. 215.</w:t>
      </w:r>
    </w:p>
  </w:endnote>
  <w:endnote w:id="142">
    <w:p w14:paraId="57752A3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43">
    <w:p w14:paraId="44E1BE1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Nitin Jain, </w:t>
      </w:r>
      <w:hyperlink r:id="rId23" w:history="1">
        <w:r w:rsidRPr="005D7EEC">
          <w:rPr>
            <w:rStyle w:val="Hyperlink"/>
            <w:rFonts w:cs="Arial"/>
            <w:sz w:val="22"/>
            <w:szCs w:val="22"/>
          </w:rPr>
          <w:t>'More Vehicles Than People in Chandigarh, Highest Density in Country'</w:t>
        </w:r>
      </w:hyperlink>
      <w:r w:rsidRPr="005D7EEC">
        <w:rPr>
          <w:rFonts w:cs="Arial"/>
          <w:sz w:val="22"/>
          <w:szCs w:val="22"/>
        </w:rPr>
        <w:t>, The Tribune, 30 June 2025 [accessed 09/11/2025]</w:t>
      </w:r>
    </w:p>
  </w:endnote>
  <w:endnote w:id="144">
    <w:p w14:paraId="2345B1ED"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45">
    <w:p w14:paraId="43C78E7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Hillary Victor, </w:t>
      </w:r>
      <w:hyperlink r:id="rId24" w:history="1">
        <w:r w:rsidRPr="005D7EEC">
          <w:rPr>
            <w:rStyle w:val="Hyperlink"/>
            <w:rFonts w:cs="Arial"/>
            <w:sz w:val="22"/>
            <w:szCs w:val="22"/>
          </w:rPr>
          <w:t>'With 9 percent Growth Since 2017, Half of Chandigarh Area Now Under Green Cover'</w:t>
        </w:r>
      </w:hyperlink>
      <w:r w:rsidRPr="005D7EEC">
        <w:rPr>
          <w:rFonts w:cs="Arial"/>
          <w:sz w:val="22"/>
          <w:szCs w:val="22"/>
        </w:rPr>
        <w:t>, Hindustan Times, 12 March 2024 [accessed  09/11/2025].</w:t>
      </w:r>
    </w:p>
  </w:endnote>
  <w:endnote w:id="146">
    <w:p w14:paraId="59B13C00"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25" w:history="1">
        <w:r w:rsidRPr="005D7EEC">
          <w:rPr>
            <w:rStyle w:val="Hyperlink"/>
            <w:rFonts w:cs="Arial"/>
            <w:sz w:val="22"/>
            <w:szCs w:val="22"/>
          </w:rPr>
          <w:t>‘New towns are important part of New Urbanism’</w:t>
        </w:r>
      </w:hyperlink>
      <w:r w:rsidRPr="005D7EEC">
        <w:rPr>
          <w:rFonts w:cs="Arial"/>
          <w:sz w:val="22"/>
          <w:szCs w:val="22"/>
        </w:rPr>
        <w:t>, Public Square A CNU Journal, 17 March 2025 &lt;</w:t>
      </w:r>
      <w:r w:rsidRPr="005D7EEC" w:rsidDel="00496881">
        <w:rPr>
          <w:rFonts w:cs="Arial"/>
          <w:sz w:val="22"/>
          <w:szCs w:val="22"/>
        </w:rPr>
        <w:t xml:space="preserve"> </w:t>
      </w:r>
      <w:r w:rsidRPr="005D7EEC">
        <w:rPr>
          <w:rFonts w:cs="Arial"/>
          <w:sz w:val="22"/>
          <w:szCs w:val="22"/>
        </w:rPr>
        <w:t>&gt; [accessed 08/11/2025]</w:t>
      </w:r>
    </w:p>
  </w:endnote>
  <w:endnote w:id="147">
    <w:p w14:paraId="7F57C4DB"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26" w:history="1">
        <w:r w:rsidRPr="005D7EEC">
          <w:rPr>
            <w:rStyle w:val="Hyperlink"/>
            <w:rFonts w:cs="Arial"/>
            <w:sz w:val="22"/>
            <w:szCs w:val="22"/>
          </w:rPr>
          <w:t>Ten ways to build small-scale urbanism</w:t>
        </w:r>
      </w:hyperlink>
      <w:r w:rsidRPr="005D7EEC">
        <w:rPr>
          <w:rFonts w:cs="Arial"/>
          <w:sz w:val="22"/>
          <w:szCs w:val="22"/>
        </w:rPr>
        <w:t>. Public Square A CNU Journal, 1 August 2022 &lt;</w:t>
      </w:r>
      <w:r w:rsidRPr="005D7EEC" w:rsidDel="00496881">
        <w:rPr>
          <w:rFonts w:cs="Arial"/>
          <w:sz w:val="22"/>
          <w:szCs w:val="22"/>
        </w:rPr>
        <w:t xml:space="preserve"> </w:t>
      </w:r>
      <w:r w:rsidRPr="005D7EEC">
        <w:rPr>
          <w:rFonts w:cs="Arial"/>
          <w:sz w:val="22"/>
          <w:szCs w:val="22"/>
        </w:rPr>
        <w:t>&gt; [accessed 08/11/2025]</w:t>
      </w:r>
    </w:p>
  </w:endnote>
  <w:endnote w:id="148">
    <w:p w14:paraId="6528053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Daybreak, South Jordan, Utah, </w:t>
      </w:r>
      <w:hyperlink r:id="rId27" w:history="1">
        <w:r w:rsidRPr="005D7EEC">
          <w:rPr>
            <w:rStyle w:val="Hyperlink"/>
            <w:rFonts w:cs="Arial"/>
            <w:sz w:val="22"/>
            <w:szCs w:val="22"/>
          </w:rPr>
          <w:t>Smart growth for Utah</w:t>
        </w:r>
      </w:hyperlink>
      <w:r w:rsidRPr="005D7EEC">
        <w:rPr>
          <w:rFonts w:cs="Arial"/>
          <w:sz w:val="22"/>
          <w:szCs w:val="22"/>
        </w:rPr>
        <w:t>, Design Workshop, 2025  [accessed 08/11/2025]</w:t>
      </w:r>
    </w:p>
  </w:endnote>
  <w:endnote w:id="149">
    <w:p w14:paraId="661224BE"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28" w:history="1">
        <w:r w:rsidRPr="005D7EEC">
          <w:rPr>
            <w:rStyle w:val="Hyperlink"/>
            <w:rFonts w:cs="Arial"/>
            <w:sz w:val="22"/>
            <w:szCs w:val="22"/>
          </w:rPr>
          <w:t>‘New towns are important part of New Urbanism’</w:t>
        </w:r>
      </w:hyperlink>
      <w:r w:rsidRPr="005D7EEC">
        <w:rPr>
          <w:rFonts w:cs="Arial"/>
          <w:sz w:val="22"/>
          <w:szCs w:val="22"/>
        </w:rPr>
        <w:t>, Public Square A CNU Journal, 17 March 2025 &lt;</w:t>
      </w:r>
      <w:r w:rsidRPr="005D7EEC" w:rsidDel="00496881">
        <w:rPr>
          <w:rFonts w:cs="Arial"/>
          <w:sz w:val="22"/>
          <w:szCs w:val="22"/>
        </w:rPr>
        <w:t xml:space="preserve"> </w:t>
      </w:r>
      <w:r w:rsidRPr="005D7EEC">
        <w:rPr>
          <w:rFonts w:cs="Arial"/>
          <w:sz w:val="22"/>
          <w:szCs w:val="22"/>
        </w:rPr>
        <w:t>&gt; [accessed 08/11/2025]</w:t>
      </w:r>
    </w:p>
  </w:endnote>
  <w:endnote w:id="150">
    <w:p w14:paraId="03CC945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Robert B. Stevens and Barbara B. Brown, ‘Walkable new urban LEED_Neighborhood-Development (LEED-ND) community design and children's physical activity: selection, environmental, or catalyst effects?’ </w:t>
      </w:r>
      <w:r w:rsidRPr="005D7EEC">
        <w:rPr>
          <w:rFonts w:cs="Arial"/>
          <w:i/>
          <w:iCs/>
          <w:sz w:val="22"/>
          <w:szCs w:val="22"/>
        </w:rPr>
        <w:t xml:space="preserve">International Journal of Behavioral Nutrition and Physical Activity, </w:t>
      </w:r>
      <w:r w:rsidRPr="005D7EEC">
        <w:rPr>
          <w:rFonts w:cs="Arial"/>
          <w:sz w:val="22"/>
          <w:szCs w:val="22"/>
        </w:rPr>
        <w:t>8.139 (2011)</w:t>
      </w:r>
      <w:r w:rsidRPr="005D7EEC">
        <w:rPr>
          <w:rFonts w:cs="Arial"/>
          <w:i/>
          <w:iCs/>
          <w:sz w:val="22"/>
          <w:szCs w:val="22"/>
        </w:rPr>
        <w:t xml:space="preserve">, </w:t>
      </w:r>
      <w:r w:rsidRPr="005D7EEC">
        <w:rPr>
          <w:rFonts w:cs="Arial"/>
          <w:sz w:val="22"/>
          <w:szCs w:val="22"/>
        </w:rPr>
        <w:t>pp. 1-10.</w:t>
      </w:r>
    </w:p>
  </w:endnote>
  <w:endnote w:id="151">
    <w:p w14:paraId="1627C736"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29" w:history="1">
        <w:r w:rsidRPr="005D7EEC">
          <w:rPr>
            <w:rStyle w:val="Hyperlink"/>
            <w:rFonts w:cs="Arial"/>
            <w:sz w:val="22"/>
            <w:szCs w:val="22"/>
          </w:rPr>
          <w:t>‘New towns are important part of New Urbanism’</w:t>
        </w:r>
      </w:hyperlink>
      <w:r w:rsidRPr="005D7EEC">
        <w:rPr>
          <w:rFonts w:cs="Arial"/>
          <w:sz w:val="22"/>
          <w:szCs w:val="22"/>
        </w:rPr>
        <w:t>, Public Square A CNU Journal, 17 March 2025 [accessed 08/11/2025]</w:t>
      </w:r>
    </w:p>
  </w:endnote>
  <w:endnote w:id="152">
    <w:p w14:paraId="0F1218F2"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Roger Hodges, </w:t>
      </w:r>
      <w:hyperlink r:id="rId30" w:history="1">
        <w:r w:rsidRPr="005D7EEC">
          <w:rPr>
            <w:rStyle w:val="Hyperlink"/>
            <w:rFonts w:cs="Arial"/>
            <w:sz w:val="22"/>
            <w:szCs w:val="22"/>
          </w:rPr>
          <w:t>‘Daybreak Community Masterplan, South Jordan, Utah’</w:t>
        </w:r>
      </w:hyperlink>
      <w:r w:rsidRPr="005D7EEC">
        <w:rPr>
          <w:rFonts w:cs="Arial"/>
          <w:sz w:val="22"/>
          <w:szCs w:val="22"/>
        </w:rPr>
        <w:t xml:space="preserve"> [accessed 09/11/2025]</w:t>
      </w:r>
    </w:p>
  </w:endnote>
  <w:endnote w:id="153">
    <w:p w14:paraId="4453A37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Urban Land Institute, </w:t>
      </w:r>
      <w:hyperlink r:id="rId31" w:history="1">
        <w:r w:rsidRPr="005D7EEC">
          <w:rPr>
            <w:rStyle w:val="Hyperlink"/>
            <w:rFonts w:cs="Arial"/>
            <w:sz w:val="22"/>
            <w:szCs w:val="22"/>
          </w:rPr>
          <w:t>‘ULI Case Studies, Daybreak: UT.’</w:t>
        </w:r>
      </w:hyperlink>
      <w:r w:rsidRPr="005D7EEC">
        <w:rPr>
          <w:rFonts w:cs="Arial"/>
          <w:sz w:val="22"/>
          <w:szCs w:val="22"/>
        </w:rPr>
        <w:t>, Urban Land Institute.  37.24. Case Number: C037024, 2015 [accessed 29/08/2025]</w:t>
      </w:r>
    </w:p>
  </w:endnote>
  <w:endnote w:id="154">
    <w:p w14:paraId="15E651C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Urban Land Institute, </w:t>
      </w:r>
      <w:hyperlink r:id="rId32" w:history="1">
        <w:r w:rsidRPr="005D7EEC">
          <w:rPr>
            <w:rStyle w:val="Hyperlink"/>
            <w:rFonts w:cs="Arial"/>
            <w:sz w:val="22"/>
            <w:szCs w:val="22"/>
          </w:rPr>
          <w:t>‘ULI Case Studies, Daybreak: UT.’</w:t>
        </w:r>
      </w:hyperlink>
      <w:r w:rsidRPr="005D7EEC">
        <w:rPr>
          <w:rFonts w:cs="Arial"/>
          <w:sz w:val="22"/>
          <w:szCs w:val="22"/>
        </w:rPr>
        <w:t>, Urban Land Institute.  37.24. Case Number: C037024, 2015 [accessed 29/08/2025]</w:t>
      </w:r>
    </w:p>
  </w:endnote>
  <w:endnote w:id="155">
    <w:p w14:paraId="3FDBF85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Utah Senate, </w:t>
      </w:r>
      <w:hyperlink r:id="rId33" w:history="1">
        <w:r w:rsidRPr="005D7EEC">
          <w:rPr>
            <w:rStyle w:val="Hyperlink"/>
            <w:rFonts w:cs="Arial"/>
            <w:sz w:val="22"/>
            <w:szCs w:val="22"/>
          </w:rPr>
          <w:t>‘Affordable Housing’</w:t>
        </w:r>
      </w:hyperlink>
      <w:r w:rsidRPr="005D7EEC">
        <w:rPr>
          <w:rFonts w:cs="Arial"/>
          <w:sz w:val="22"/>
          <w:szCs w:val="22"/>
        </w:rPr>
        <w:t>, 2024 [accessed 29/08/2025]</w:t>
      </w:r>
    </w:p>
  </w:endnote>
  <w:endnote w:id="156">
    <w:p w14:paraId="74D1F7A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TerraineLife, </w:t>
      </w:r>
      <w:hyperlink r:id="rId34" w:history="1">
        <w:r w:rsidRPr="005D7EEC">
          <w:rPr>
            <w:rStyle w:val="Hyperlink"/>
            <w:rFonts w:cs="Arial"/>
            <w:sz w:val="22"/>
            <w:szCs w:val="22"/>
          </w:rPr>
          <w:t>‘Elevating from the ground up’</w:t>
        </w:r>
      </w:hyperlink>
      <w:r w:rsidRPr="005D7EEC">
        <w:rPr>
          <w:rFonts w:cs="Arial"/>
          <w:sz w:val="22"/>
          <w:szCs w:val="22"/>
        </w:rPr>
        <w:t>, 2025 [accessed 29/08/2025]</w:t>
      </w:r>
    </w:p>
  </w:endnote>
  <w:endnote w:id="157">
    <w:p w14:paraId="36173676"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Daniel Parolek, </w:t>
      </w:r>
      <w:r w:rsidRPr="005D7EEC">
        <w:rPr>
          <w:rFonts w:cs="Arial"/>
          <w:i/>
          <w:iCs/>
          <w:sz w:val="22"/>
          <w:szCs w:val="22"/>
        </w:rPr>
        <w:t>Missing Middle Housing: Thinking Big and Building Small to Respond to Today’s Housing Crisis</w:t>
      </w:r>
      <w:r w:rsidRPr="005D7EEC">
        <w:rPr>
          <w:rFonts w:cs="Arial"/>
          <w:sz w:val="22"/>
          <w:szCs w:val="22"/>
        </w:rPr>
        <w:t xml:space="preserve"> (Island Press, 2020)</w:t>
      </w:r>
    </w:p>
  </w:endnote>
  <w:endnote w:id="158">
    <w:p w14:paraId="33911087"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35" w:history="1">
        <w:r w:rsidRPr="005D7EEC">
          <w:rPr>
            <w:rStyle w:val="Hyperlink"/>
            <w:rFonts w:cs="Arial"/>
            <w:sz w:val="22"/>
            <w:szCs w:val="22"/>
          </w:rPr>
          <w:t>‘An innovative missing middle design’</w:t>
        </w:r>
      </w:hyperlink>
      <w:r w:rsidRPr="005D7EEC">
        <w:rPr>
          <w:rFonts w:cs="Arial"/>
          <w:sz w:val="22"/>
          <w:szCs w:val="22"/>
        </w:rPr>
        <w:t>, Public Square A CNU Journal, 25 April 2018  [accessed 08/11/2025]</w:t>
      </w:r>
    </w:p>
  </w:endnote>
  <w:endnote w:id="159">
    <w:p w14:paraId="6B60F3A4" w14:textId="77777777" w:rsidR="00BF7993" w:rsidRPr="00182824" w:rsidRDefault="00BF7993" w:rsidP="00BF7993">
      <w:pPr>
        <w:pStyle w:val="EndnoteText"/>
        <w:spacing w:after="120" w:line="276" w:lineRule="auto"/>
        <w:rPr>
          <w:sz w:val="22"/>
          <w:szCs w:val="22"/>
          <w:lang w:val="en-US"/>
        </w:rPr>
      </w:pPr>
      <w:r w:rsidRPr="00182824">
        <w:rPr>
          <w:rStyle w:val="EndnoteReference"/>
          <w:sz w:val="22"/>
          <w:szCs w:val="22"/>
        </w:rPr>
        <w:endnoteRef/>
      </w:r>
      <w:r w:rsidRPr="00182824">
        <w:rPr>
          <w:sz w:val="22"/>
          <w:szCs w:val="22"/>
        </w:rPr>
        <w:t xml:space="preserve"> Robert Steuteville, </w:t>
      </w:r>
      <w:hyperlink r:id="rId36" w:history="1">
        <w:r w:rsidRPr="00182824">
          <w:rPr>
            <w:rStyle w:val="Hyperlink"/>
            <w:sz w:val="22"/>
            <w:szCs w:val="22"/>
          </w:rPr>
          <w:t>‘New towns are important part of New Urbanism’</w:t>
        </w:r>
      </w:hyperlink>
      <w:r w:rsidRPr="00182824">
        <w:rPr>
          <w:sz w:val="22"/>
          <w:szCs w:val="22"/>
        </w:rPr>
        <w:t>, Public Square A CNU Journal, 17 March 2025 [accessed 08/11/2025]</w:t>
      </w:r>
    </w:p>
  </w:endnote>
  <w:endnote w:id="160">
    <w:p w14:paraId="75ADAAA3"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Clovis Ultramari, Roberto C.E. de Oliveira da Silva and Gisela Meister, ‘Idealizing Brazilian cities: their master plans from 1960 through 2015’, </w:t>
      </w:r>
      <w:r w:rsidRPr="005D7EEC">
        <w:rPr>
          <w:rFonts w:cs="Arial"/>
          <w:i/>
          <w:iCs/>
          <w:sz w:val="22"/>
          <w:szCs w:val="22"/>
        </w:rPr>
        <w:t>Cities</w:t>
      </w:r>
      <w:r w:rsidRPr="005D7EEC">
        <w:rPr>
          <w:rFonts w:cs="Arial"/>
          <w:sz w:val="22"/>
          <w:szCs w:val="22"/>
        </w:rPr>
        <w:t>, 83 (2018), pp. 186-192.</w:t>
      </w:r>
    </w:p>
  </w:endnote>
  <w:endnote w:id="161">
    <w:p w14:paraId="785E0694"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Roberto Rocco, Luciana Royer and Fábio Mariz Gonçalves, ‘Characterisation of spatial planning in Brazil: the right to the city in theory and practice’, </w:t>
      </w:r>
      <w:r w:rsidRPr="005D7EEC">
        <w:rPr>
          <w:rFonts w:cs="Arial"/>
          <w:i/>
          <w:iCs/>
          <w:sz w:val="22"/>
          <w:szCs w:val="22"/>
        </w:rPr>
        <w:t>Planning Practice and Research</w:t>
      </w:r>
      <w:r w:rsidRPr="005D7EEC">
        <w:rPr>
          <w:rFonts w:cs="Arial"/>
          <w:sz w:val="22"/>
          <w:szCs w:val="22"/>
        </w:rPr>
        <w:t>, 34.4 (2019), pp. 419-437.</w:t>
      </w:r>
    </w:p>
  </w:endnote>
  <w:endnote w:id="162">
    <w:p w14:paraId="4A2F469D"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Prefeitura de Curitiba, </w:t>
      </w:r>
      <w:hyperlink r:id="rId37" w:history="1">
        <w:r w:rsidRPr="005D7EEC">
          <w:rPr>
            <w:rStyle w:val="Hyperlink"/>
            <w:rFonts w:cs="Arial"/>
            <w:sz w:val="22"/>
            <w:szCs w:val="22"/>
          </w:rPr>
          <w:t>‘IPPUC, THE INSTITUTE THAT PLANS AND MAKES HAPPEN’</w:t>
        </w:r>
      </w:hyperlink>
      <w:r w:rsidRPr="005D7EEC">
        <w:rPr>
          <w:rFonts w:cs="Arial"/>
          <w:sz w:val="22"/>
          <w:szCs w:val="22"/>
        </w:rPr>
        <w:t>, [accessed 08/11/2025]</w:t>
      </w:r>
    </w:p>
  </w:endnote>
  <w:endnote w:id="163">
    <w:p w14:paraId="12B4CFC7"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Joseli Macedo, ‘Planning a sustainable city: the making of Curitiba, Brazil’, </w:t>
      </w:r>
      <w:r w:rsidRPr="005D7EEC">
        <w:rPr>
          <w:rFonts w:cs="Arial"/>
          <w:i/>
          <w:iCs/>
          <w:sz w:val="22"/>
          <w:szCs w:val="22"/>
        </w:rPr>
        <w:t>Journal of Planning History</w:t>
      </w:r>
      <w:r w:rsidRPr="005D7EEC">
        <w:rPr>
          <w:rFonts w:cs="Arial"/>
          <w:sz w:val="22"/>
          <w:szCs w:val="22"/>
        </w:rPr>
        <w:t xml:space="preserve"> 12.4 (2013), pp. 334-353.</w:t>
      </w:r>
    </w:p>
  </w:endnote>
  <w:endnote w:id="164">
    <w:p w14:paraId="3D93B77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Jean Mercier, Mario Carrier, Fábio Duarte and Fanny Tremblay-Racicot, ‘Policy tools for sustainable transport in three cities of the Americas: Seattle, Montreal and Curitiba’, </w:t>
      </w:r>
      <w:r w:rsidRPr="005D7EEC">
        <w:rPr>
          <w:rFonts w:cs="Arial"/>
          <w:i/>
          <w:iCs/>
          <w:sz w:val="22"/>
          <w:szCs w:val="22"/>
        </w:rPr>
        <w:t>Transport Policy</w:t>
      </w:r>
      <w:r w:rsidRPr="005D7EEC">
        <w:rPr>
          <w:rFonts w:cs="Arial"/>
          <w:sz w:val="22"/>
          <w:szCs w:val="22"/>
        </w:rPr>
        <w:t xml:space="preserve">, 50 (2016), pp. 95-105. </w:t>
      </w:r>
    </w:p>
  </w:endnote>
  <w:endnote w:id="165">
    <w:p w14:paraId="66F3516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66">
    <w:p w14:paraId="1F880869"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67">
    <w:p w14:paraId="40B76C00"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Joseli Macedo, ‘City profile: Curitiba’, </w:t>
      </w:r>
      <w:r w:rsidRPr="005D7EEC">
        <w:rPr>
          <w:rFonts w:cs="Arial"/>
          <w:i/>
          <w:iCs/>
          <w:sz w:val="22"/>
          <w:szCs w:val="22"/>
        </w:rPr>
        <w:t>Cities</w:t>
      </w:r>
      <w:r w:rsidRPr="005D7EEC">
        <w:rPr>
          <w:rFonts w:cs="Arial"/>
          <w:sz w:val="22"/>
          <w:szCs w:val="22"/>
        </w:rPr>
        <w:t>, 21.6 (2004), pp. 537-549,</w:t>
      </w:r>
    </w:p>
  </w:endnote>
  <w:endnote w:id="168">
    <w:p w14:paraId="57B71D41"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International Association of Horticultural Producers, </w:t>
      </w:r>
      <w:hyperlink r:id="rId38" w:history="1">
        <w:r w:rsidRPr="005D7EEC">
          <w:rPr>
            <w:rStyle w:val="Hyperlink"/>
            <w:rFonts w:cs="Arial"/>
            <w:sz w:val="22"/>
            <w:szCs w:val="22"/>
          </w:rPr>
          <w:t>‘Curitiba, Brazil: Curitiba’s Urban Agriculture’</w:t>
        </w:r>
      </w:hyperlink>
      <w:r w:rsidRPr="005D7EEC">
        <w:rPr>
          <w:rFonts w:cs="Arial"/>
          <w:sz w:val="22"/>
          <w:szCs w:val="22"/>
        </w:rPr>
        <w:t>, 2025 [accessed 09/11/2025]</w:t>
      </w:r>
    </w:p>
  </w:endnote>
  <w:endnote w:id="169">
    <w:p w14:paraId="26EA3DFA"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Viable Alternative, Curitiba City, ‘</w:t>
      </w:r>
      <w:hyperlink r:id="rId39" w:history="1">
        <w:r w:rsidRPr="005D7EEC">
          <w:rPr>
            <w:rStyle w:val="Hyperlink"/>
            <w:rFonts w:cs="Arial"/>
            <w:sz w:val="22"/>
            <w:szCs w:val="22"/>
          </w:rPr>
          <w:t>A Model In Sustainable Urban Planning’</w:t>
        </w:r>
      </w:hyperlink>
      <w:r w:rsidRPr="005D7EEC">
        <w:rPr>
          <w:rFonts w:cs="Arial"/>
          <w:sz w:val="22"/>
          <w:szCs w:val="22"/>
        </w:rPr>
        <w:t xml:space="preserve"> [accessed 09/11/2025]</w:t>
      </w:r>
    </w:p>
  </w:endnote>
  <w:endnote w:id="170">
    <w:p w14:paraId="7088A4D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Hellem de Freitas Miranda and Antônio Nélson Rodrigues da Silva, ‘Benchmarking sustainable urban mobility: the case of Curitiba, Brazil’, </w:t>
      </w:r>
      <w:r w:rsidRPr="005D7EEC">
        <w:rPr>
          <w:rFonts w:cs="Arial"/>
          <w:i/>
          <w:iCs/>
          <w:sz w:val="22"/>
          <w:szCs w:val="22"/>
        </w:rPr>
        <w:t>Transport Policy</w:t>
      </w:r>
      <w:r w:rsidRPr="005D7EEC">
        <w:rPr>
          <w:rFonts w:cs="Arial"/>
          <w:sz w:val="22"/>
          <w:szCs w:val="22"/>
        </w:rPr>
        <w:t>, 21 (2012), pp. 141-151.</w:t>
      </w:r>
    </w:p>
  </w:endnote>
  <w:endnote w:id="171">
    <w:p w14:paraId="4529EDC1"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Clara Irazábal, </w:t>
      </w:r>
      <w:r w:rsidRPr="005D7EEC">
        <w:rPr>
          <w:rFonts w:cs="Arial"/>
          <w:i/>
          <w:iCs/>
          <w:sz w:val="22"/>
          <w:szCs w:val="22"/>
        </w:rPr>
        <w:t>City making and urban governance in the Americas: Curitiba and Portland</w:t>
      </w:r>
      <w:r w:rsidRPr="005D7EEC">
        <w:rPr>
          <w:rFonts w:cs="Arial"/>
          <w:sz w:val="22"/>
          <w:szCs w:val="22"/>
        </w:rPr>
        <w:t xml:space="preserve"> (Ashgate, 2017).</w:t>
      </w:r>
    </w:p>
  </w:endnote>
  <w:endnote w:id="172">
    <w:p w14:paraId="7492F0E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Jacob Torfing, ‘Rethinking path-dependence in public policy research’, </w:t>
      </w:r>
      <w:r w:rsidRPr="005D7EEC">
        <w:rPr>
          <w:rFonts w:cs="Arial"/>
          <w:i/>
          <w:iCs/>
          <w:sz w:val="22"/>
          <w:szCs w:val="22"/>
        </w:rPr>
        <w:t>Critical Policy Studies</w:t>
      </w:r>
      <w:r w:rsidRPr="005D7EEC">
        <w:rPr>
          <w:rFonts w:cs="Arial"/>
          <w:sz w:val="22"/>
          <w:szCs w:val="22"/>
        </w:rPr>
        <w:t>, 3.1 (2009), pp.70-83.</w:t>
      </w:r>
    </w:p>
  </w:endnote>
  <w:endnote w:id="173">
    <w:p w14:paraId="4431E946"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74">
    <w:p w14:paraId="49CF045C"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Jaime Lerner, </w:t>
      </w:r>
      <w:r w:rsidRPr="005D7EEC">
        <w:rPr>
          <w:rFonts w:cs="Arial"/>
          <w:i/>
          <w:iCs/>
          <w:sz w:val="22"/>
          <w:szCs w:val="22"/>
        </w:rPr>
        <w:t>Acupuntura urbana</w:t>
      </w:r>
      <w:r w:rsidRPr="005D7EEC">
        <w:rPr>
          <w:rFonts w:cs="Arial"/>
          <w:sz w:val="22"/>
          <w:szCs w:val="22"/>
        </w:rPr>
        <w:t xml:space="preserve"> (Editora Record, 2003).</w:t>
      </w:r>
    </w:p>
  </w:endnote>
  <w:endnote w:id="175">
    <w:p w14:paraId="25E726C6"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Joseli Macedo, ‘City profile: Curitiba’, </w:t>
      </w:r>
      <w:r w:rsidRPr="005D7EEC">
        <w:rPr>
          <w:rFonts w:cs="Arial"/>
          <w:i/>
          <w:iCs/>
          <w:sz w:val="22"/>
          <w:szCs w:val="22"/>
        </w:rPr>
        <w:t>Cities</w:t>
      </w:r>
      <w:r w:rsidRPr="005D7EEC">
        <w:rPr>
          <w:rFonts w:cs="Arial"/>
          <w:sz w:val="22"/>
          <w:szCs w:val="22"/>
        </w:rPr>
        <w:t>, 21.6 (2004), pp. 537-549,</w:t>
      </w:r>
    </w:p>
  </w:endnote>
  <w:endnote w:id="176">
    <w:p w14:paraId="2FC73C3E"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77">
    <w:p w14:paraId="095EE6DA"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Katy Lock and Hugh Ellis, </w:t>
      </w:r>
      <w:r w:rsidRPr="005D7EEC">
        <w:rPr>
          <w:rFonts w:cs="Arial"/>
          <w:i/>
          <w:iCs/>
          <w:sz w:val="22"/>
          <w:szCs w:val="22"/>
        </w:rPr>
        <w:t>New Towns: The Rise, Fall and Rebirth</w:t>
      </w:r>
      <w:r w:rsidRPr="005D7EEC">
        <w:rPr>
          <w:rFonts w:cs="Arial"/>
          <w:sz w:val="22"/>
          <w:szCs w:val="22"/>
        </w:rPr>
        <w:t xml:space="preserve"> (RIBA Publishing, 2020).</w:t>
      </w:r>
    </w:p>
  </w:endnote>
  <w:endnote w:id="178">
    <w:p w14:paraId="18CAE1E2"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bookmarkStart w:id="35" w:name="_Hlk206592412"/>
      <w:r w:rsidRPr="005D7EEC">
        <w:rPr>
          <w:rFonts w:cs="Arial"/>
          <w:sz w:val="22"/>
          <w:szCs w:val="22"/>
        </w:rPr>
        <w:t xml:space="preserve">Joseli Macedo, ‘Planning a sustainable city: the making of Curitiba, Brazil’, </w:t>
      </w:r>
      <w:r w:rsidRPr="005D7EEC">
        <w:rPr>
          <w:rFonts w:cs="Arial"/>
          <w:i/>
          <w:iCs/>
          <w:sz w:val="22"/>
          <w:szCs w:val="22"/>
        </w:rPr>
        <w:t>Journal of Planning History</w:t>
      </w:r>
      <w:r w:rsidRPr="005D7EEC">
        <w:rPr>
          <w:rFonts w:cs="Arial"/>
          <w:sz w:val="22"/>
          <w:szCs w:val="22"/>
        </w:rPr>
        <w:t xml:space="preserve"> 12.4 (2013), pp. 334-353.</w:t>
      </w:r>
      <w:bookmarkEnd w:id="35"/>
    </w:p>
  </w:endnote>
  <w:endnote w:id="179">
    <w:p w14:paraId="3A4866C8" w14:textId="77777777" w:rsidR="00870BE8" w:rsidRPr="005D7EEC" w:rsidRDefault="00870BE8" w:rsidP="00870BE8">
      <w:pPr>
        <w:pStyle w:val="EndnoteText"/>
        <w:spacing w:after="120" w:line="276" w:lineRule="auto"/>
        <w:rPr>
          <w:rFonts w:cs="Arial"/>
        </w:rPr>
      </w:pPr>
      <w:r w:rsidRPr="005D7EEC">
        <w:rPr>
          <w:rStyle w:val="EndnoteReference"/>
          <w:rFonts w:cs="Arial"/>
          <w:sz w:val="22"/>
          <w:szCs w:val="22"/>
        </w:rPr>
        <w:endnoteRef/>
      </w:r>
      <w:r w:rsidRPr="005D7EEC">
        <w:rPr>
          <w:rFonts w:cs="Arial"/>
          <w:sz w:val="22"/>
          <w:szCs w:val="22"/>
        </w:rPr>
        <w:t xml:space="preserve"> Cassio Taniguchi, ‘Transport and urban planning in Curitiba’, </w:t>
      </w:r>
      <w:r w:rsidRPr="005D7EEC">
        <w:rPr>
          <w:rFonts w:cs="Arial"/>
          <w:i/>
          <w:iCs/>
          <w:sz w:val="22"/>
          <w:szCs w:val="22"/>
        </w:rPr>
        <w:t>disP: The Planning Review</w:t>
      </w:r>
      <w:r w:rsidRPr="005D7EEC">
        <w:rPr>
          <w:rFonts w:cs="Arial"/>
          <w:sz w:val="22"/>
          <w:szCs w:val="22"/>
        </w:rPr>
        <w:t>, 37.147 (2001), pp. 14-19.</w:t>
      </w:r>
    </w:p>
  </w:endnote>
  <w:endnote w:id="180">
    <w:p w14:paraId="36FD1299" w14:textId="77777777" w:rsidR="00216384" w:rsidRPr="008254B0" w:rsidRDefault="00216384" w:rsidP="00216384">
      <w:pPr>
        <w:pStyle w:val="EndnoteText"/>
        <w:spacing w:beforeLines="120" w:before="288" w:afterLines="120" w:after="288" w:line="276" w:lineRule="auto"/>
        <w:rPr>
          <w:sz w:val="22"/>
          <w:szCs w:val="22"/>
        </w:rPr>
      </w:pPr>
      <w:r w:rsidRPr="008254B0">
        <w:rPr>
          <w:rStyle w:val="EndnoteReference"/>
          <w:sz w:val="22"/>
          <w:szCs w:val="22"/>
        </w:rPr>
        <w:endnoteRef/>
      </w:r>
      <w:r w:rsidRPr="008254B0">
        <w:rPr>
          <w:sz w:val="22"/>
          <w:szCs w:val="22"/>
        </w:rPr>
        <w:t xml:space="preserve"> Simin Davoudi and John Sturzaker, 'Urban form, policy packaging and sustainable urban metabolism', </w:t>
      </w:r>
      <w:r w:rsidRPr="008254B0">
        <w:rPr>
          <w:i/>
          <w:iCs/>
          <w:sz w:val="22"/>
          <w:szCs w:val="22"/>
        </w:rPr>
        <w:t>Resources, Conservation and Recycling</w:t>
      </w:r>
      <w:r w:rsidRPr="008254B0">
        <w:rPr>
          <w:sz w:val="22"/>
          <w:szCs w:val="22"/>
        </w:rPr>
        <w:t>, 2017, 120, p55-64</w:t>
      </w:r>
    </w:p>
  </w:endnote>
  <w:endnote w:id="181">
    <w:p w14:paraId="25C3563E" w14:textId="77777777" w:rsidR="007A21CB" w:rsidRPr="008254B0" w:rsidRDefault="007A21CB" w:rsidP="007A21CB">
      <w:pPr>
        <w:pStyle w:val="EndnoteText"/>
        <w:spacing w:beforeLines="120" w:before="288" w:afterLines="120" w:after="288" w:line="276" w:lineRule="auto"/>
        <w:rPr>
          <w:sz w:val="22"/>
          <w:szCs w:val="22"/>
        </w:rPr>
      </w:pPr>
      <w:r w:rsidRPr="008254B0">
        <w:rPr>
          <w:rStyle w:val="EndnoteReference"/>
          <w:sz w:val="22"/>
          <w:szCs w:val="22"/>
        </w:rPr>
        <w:endnoteRef/>
      </w:r>
      <w:r w:rsidRPr="008254B0">
        <w:rPr>
          <w:sz w:val="22"/>
          <w:szCs w:val="22"/>
        </w:rPr>
        <w:t xml:space="preserve"> Royal Town Planning Institute, </w:t>
      </w:r>
      <w:hyperlink r:id="rId40" w:history="1">
        <w:r w:rsidRPr="008254B0">
          <w:rPr>
            <w:rStyle w:val="Hyperlink"/>
            <w:sz w:val="22"/>
            <w:szCs w:val="22"/>
          </w:rPr>
          <w:t>Public lacks confidence in the next generation of New Towns</w:t>
        </w:r>
      </w:hyperlink>
      <w:r w:rsidRPr="008254B0">
        <w:rPr>
          <w:sz w:val="22"/>
          <w:szCs w:val="22"/>
        </w:rPr>
        <w:t>, 2025, [accessed 04/09/2025]</w:t>
      </w:r>
    </w:p>
  </w:endnote>
  <w:endnote w:id="182">
    <w:p w14:paraId="51D03F85" w14:textId="77777777" w:rsidR="007A21CB" w:rsidRPr="00CC6E5F" w:rsidRDefault="007A21CB" w:rsidP="007A21CB">
      <w:pPr>
        <w:pStyle w:val="EndnoteText"/>
        <w:spacing w:beforeLines="120" w:before="288" w:afterLines="120" w:after="288" w:line="276" w:lineRule="auto"/>
      </w:pPr>
      <w:r w:rsidRPr="008254B0">
        <w:rPr>
          <w:rStyle w:val="EndnoteReference"/>
          <w:sz w:val="22"/>
          <w:szCs w:val="22"/>
        </w:rPr>
        <w:endnoteRef/>
      </w:r>
      <w:r w:rsidRPr="008254B0">
        <w:rPr>
          <w:sz w:val="22"/>
          <w:szCs w:val="22"/>
        </w:rPr>
        <w:t xml:space="preserve"> J. Bennett, </w:t>
      </w:r>
      <w:r w:rsidRPr="008254B0">
        <w:rPr>
          <w:i/>
          <w:iCs/>
          <w:sz w:val="22"/>
          <w:szCs w:val="22"/>
        </w:rPr>
        <w:t>From New Towns to Growth Areas: Learning from the Past</w:t>
      </w:r>
      <w:r w:rsidRPr="008254B0">
        <w:rPr>
          <w:sz w:val="22"/>
          <w:szCs w:val="22"/>
        </w:rPr>
        <w:t>, 2005. Institute for Public Policy Research (IPPR).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5002EFF" w:usb1="C200ACFF" w:usb2="00000009" w:usb3="00000000" w:csb0="000001FF" w:csb1="00000000"/>
  </w:font>
  <w:font w:name="Helvetica">
    <w:panose1 w:val="020B05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Thi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7012096"/>
      <w:docPartObj>
        <w:docPartGallery w:val="Page Numbers (Bottom of Page)"/>
        <w:docPartUnique/>
      </w:docPartObj>
    </w:sdtPr>
    <w:sdtEndPr/>
    <w:sdtContent>
      <w:sdt>
        <w:sdtPr>
          <w:id w:val="1728636285"/>
          <w:docPartObj>
            <w:docPartGallery w:val="Page Numbers (Top of Page)"/>
            <w:docPartUnique/>
          </w:docPartObj>
        </w:sdtPr>
        <w:sdtEndPr/>
        <w:sdtContent>
          <w:p w14:paraId="18724781" w14:textId="6E46958C" w:rsidR="00420C98" w:rsidRPr="00CC6E5F" w:rsidRDefault="00A87775" w:rsidP="00A87775">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8884703"/>
      <w:docPartObj>
        <w:docPartGallery w:val="Page Numbers (Bottom of Page)"/>
        <w:docPartUnique/>
      </w:docPartObj>
    </w:sdtPr>
    <w:sdtEndPr/>
    <w:sdtContent>
      <w:sdt>
        <w:sdtPr>
          <w:id w:val="656739194"/>
          <w:docPartObj>
            <w:docPartGallery w:val="Page Numbers (Top of Page)"/>
            <w:docPartUnique/>
          </w:docPartObj>
        </w:sdtPr>
        <w:sdtEndPr/>
        <w:sdtContent>
          <w:p w14:paraId="0980201A" w14:textId="77777777" w:rsidR="009518E9" w:rsidRDefault="009518E9" w:rsidP="00973E6B">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FC20B" w14:textId="77777777" w:rsidR="00DE4BC4" w:rsidRPr="00CC6E5F" w:rsidRDefault="00DE4BC4" w:rsidP="0034174F">
      <w:pPr>
        <w:spacing w:after="0" w:line="240" w:lineRule="auto"/>
      </w:pPr>
      <w:r w:rsidRPr="00CC6E5F">
        <w:separator/>
      </w:r>
    </w:p>
  </w:footnote>
  <w:footnote w:type="continuationSeparator" w:id="0">
    <w:p w14:paraId="2B70E136" w14:textId="77777777" w:rsidR="00DE4BC4" w:rsidRPr="00CC6E5F" w:rsidRDefault="00DE4BC4" w:rsidP="0034174F">
      <w:pPr>
        <w:spacing w:after="0" w:line="240" w:lineRule="auto"/>
      </w:pPr>
      <w:r w:rsidRPr="00CC6E5F">
        <w:continuationSeparator/>
      </w:r>
    </w:p>
  </w:footnote>
  <w:footnote w:type="continuationNotice" w:id="1">
    <w:p w14:paraId="5A2CFEFE" w14:textId="77777777" w:rsidR="00DE4BC4" w:rsidRPr="00CC6E5F" w:rsidRDefault="00DE4BC4">
      <w:pPr>
        <w:spacing w:after="0" w:line="240" w:lineRule="auto"/>
      </w:pPr>
    </w:p>
  </w:footnote>
  <w:footnote w:id="2">
    <w:p w14:paraId="6E5713B2" w14:textId="28BBB303" w:rsidR="008819DD" w:rsidRDefault="008819DD" w:rsidP="004E565F">
      <w:pPr>
        <w:pStyle w:val="FootnoteText"/>
        <w:spacing w:line="360" w:lineRule="auto"/>
      </w:pPr>
      <w:r>
        <w:rPr>
          <w:rStyle w:val="FootnoteReference"/>
        </w:rPr>
        <w:footnoteRef/>
      </w:r>
      <w:r>
        <w:t xml:space="preserve"> </w:t>
      </w:r>
      <w:r w:rsidRPr="008F6502">
        <w:t>The New Towns Taskforce’s proposed locations generally focus on pre-existing settlements. It frames the use of new towns as a way to expand and unlock large-scale housing delivery in these locations, rather than as a way of building ‘standalone’ new settlements. One could therefore argue that many of the Taskforce’s 44 recommendations concern effective town planning in general as much as the delivery of new settlements. In response, this report focuses on case studies of international new towns which have seen significant development and change over time. The lessons from these new towns are relevant both to effective town planning, broadly defined, and the unique challenges and opportunities associated with them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8598111"/>
      <w:docPartObj>
        <w:docPartGallery w:val="Page Numbers (Top of Page)"/>
        <w:docPartUnique/>
      </w:docPartObj>
    </w:sdtPr>
    <w:sdtEndPr>
      <w:rPr>
        <w:noProof/>
      </w:rPr>
    </w:sdtEndPr>
    <w:sdtContent>
      <w:p w14:paraId="190013E4" w14:textId="1CAAE084" w:rsidR="00420C98" w:rsidRDefault="00A87775">
        <w:pPr>
          <w:pStyle w:val="Header"/>
          <w:jc w:val="right"/>
        </w:pPr>
        <w:r>
          <w:rPr>
            <w:noProof/>
          </w:rPr>
          <w:t>February 2026</w:t>
        </w:r>
      </w:p>
    </w:sdtContent>
  </w:sdt>
  <w:p w14:paraId="2062FD6D" w14:textId="7EF5064F" w:rsidR="00420C98" w:rsidRPr="00CC6E5F" w:rsidRDefault="00420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B63F" w14:textId="3E3838ED" w:rsidR="009518E9" w:rsidRDefault="00951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B234" w14:textId="7975E3D9" w:rsidR="009518E9" w:rsidRDefault="00A87775" w:rsidP="004E565F">
    <w:pPr>
      <w:pStyle w:val="Header"/>
      <w:jc w:val="right"/>
    </w:pPr>
    <w:r>
      <w:t xml:space="preserve">February </w:t>
    </w:r>
    <w:r w:rsidR="132B8540">
      <w:t>2026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F020" w14:textId="7683ED6C" w:rsidR="009518E9" w:rsidRDefault="00951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438"/>
    <w:multiLevelType w:val="hybridMultilevel"/>
    <w:tmpl w:val="F8EC0472"/>
    <w:lvl w:ilvl="0" w:tplc="52E0B652">
      <w:start w:val="1"/>
      <w:numFmt w:val="bullet"/>
      <w:pStyle w:val="PR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05E00"/>
    <w:multiLevelType w:val="hybridMultilevel"/>
    <w:tmpl w:val="03B21E60"/>
    <w:numStyleLink w:val="ImportedStyle2"/>
  </w:abstractNum>
  <w:abstractNum w:abstractNumId="2" w15:restartNumberingAfterBreak="0">
    <w:nsid w:val="11565158"/>
    <w:multiLevelType w:val="hybridMultilevel"/>
    <w:tmpl w:val="9A6C8CEC"/>
    <w:lvl w:ilvl="0" w:tplc="B992BD76">
      <w:start w:val="1"/>
      <w:numFmt w:val="bullet"/>
      <w:lvlText w:val=""/>
      <w:lvlJc w:val="left"/>
      <w:pPr>
        <w:ind w:left="720" w:hanging="360"/>
      </w:pPr>
      <w:rPr>
        <w:rFonts w:ascii="Symbol" w:hAnsi="Symbol" w:hint="default"/>
      </w:rPr>
    </w:lvl>
    <w:lvl w:ilvl="1" w:tplc="F70C354A">
      <w:start w:val="1"/>
      <w:numFmt w:val="bullet"/>
      <w:lvlText w:val="o"/>
      <w:lvlJc w:val="left"/>
      <w:pPr>
        <w:ind w:left="1440" w:hanging="360"/>
      </w:pPr>
      <w:rPr>
        <w:rFonts w:ascii="Courier New" w:hAnsi="Courier New" w:hint="default"/>
      </w:rPr>
    </w:lvl>
    <w:lvl w:ilvl="2" w:tplc="A37A23CC">
      <w:start w:val="1"/>
      <w:numFmt w:val="bullet"/>
      <w:lvlText w:val=""/>
      <w:lvlJc w:val="left"/>
      <w:pPr>
        <w:ind w:left="2160" w:hanging="360"/>
      </w:pPr>
      <w:rPr>
        <w:rFonts w:ascii="Wingdings" w:hAnsi="Wingdings" w:hint="default"/>
      </w:rPr>
    </w:lvl>
    <w:lvl w:ilvl="3" w:tplc="9F2E368E">
      <w:start w:val="1"/>
      <w:numFmt w:val="bullet"/>
      <w:lvlText w:val=""/>
      <w:lvlJc w:val="left"/>
      <w:pPr>
        <w:ind w:left="2880" w:hanging="360"/>
      </w:pPr>
      <w:rPr>
        <w:rFonts w:ascii="Symbol" w:hAnsi="Symbol" w:hint="default"/>
      </w:rPr>
    </w:lvl>
    <w:lvl w:ilvl="4" w:tplc="6F9651D2">
      <w:start w:val="1"/>
      <w:numFmt w:val="bullet"/>
      <w:lvlText w:val="o"/>
      <w:lvlJc w:val="left"/>
      <w:pPr>
        <w:ind w:left="3600" w:hanging="360"/>
      </w:pPr>
      <w:rPr>
        <w:rFonts w:ascii="Courier New" w:hAnsi="Courier New" w:hint="default"/>
      </w:rPr>
    </w:lvl>
    <w:lvl w:ilvl="5" w:tplc="39422934">
      <w:start w:val="1"/>
      <w:numFmt w:val="bullet"/>
      <w:lvlText w:val=""/>
      <w:lvlJc w:val="left"/>
      <w:pPr>
        <w:ind w:left="4320" w:hanging="360"/>
      </w:pPr>
      <w:rPr>
        <w:rFonts w:ascii="Wingdings" w:hAnsi="Wingdings" w:hint="default"/>
      </w:rPr>
    </w:lvl>
    <w:lvl w:ilvl="6" w:tplc="279CE2BC">
      <w:start w:val="1"/>
      <w:numFmt w:val="bullet"/>
      <w:lvlText w:val=""/>
      <w:lvlJc w:val="left"/>
      <w:pPr>
        <w:ind w:left="5040" w:hanging="360"/>
      </w:pPr>
      <w:rPr>
        <w:rFonts w:ascii="Symbol" w:hAnsi="Symbol" w:hint="default"/>
      </w:rPr>
    </w:lvl>
    <w:lvl w:ilvl="7" w:tplc="01A0C808">
      <w:start w:val="1"/>
      <w:numFmt w:val="bullet"/>
      <w:lvlText w:val="o"/>
      <w:lvlJc w:val="left"/>
      <w:pPr>
        <w:ind w:left="5760" w:hanging="360"/>
      </w:pPr>
      <w:rPr>
        <w:rFonts w:ascii="Courier New" w:hAnsi="Courier New" w:hint="default"/>
      </w:rPr>
    </w:lvl>
    <w:lvl w:ilvl="8" w:tplc="68A03786">
      <w:start w:val="1"/>
      <w:numFmt w:val="bullet"/>
      <w:lvlText w:val=""/>
      <w:lvlJc w:val="left"/>
      <w:pPr>
        <w:ind w:left="6480" w:hanging="360"/>
      </w:pPr>
      <w:rPr>
        <w:rFonts w:ascii="Wingdings" w:hAnsi="Wingdings" w:hint="default"/>
      </w:rPr>
    </w:lvl>
  </w:abstractNum>
  <w:abstractNum w:abstractNumId="3" w15:restartNumberingAfterBreak="0">
    <w:nsid w:val="11657227"/>
    <w:multiLevelType w:val="hybridMultilevel"/>
    <w:tmpl w:val="12F2546E"/>
    <w:lvl w:ilvl="0" w:tplc="B86A665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65DAB"/>
    <w:multiLevelType w:val="hybridMultilevel"/>
    <w:tmpl w:val="70F60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29A3CA"/>
    <w:multiLevelType w:val="hybridMultilevel"/>
    <w:tmpl w:val="6B609B94"/>
    <w:lvl w:ilvl="0" w:tplc="1DFA8028">
      <w:start w:val="1"/>
      <w:numFmt w:val="bullet"/>
      <w:lvlText w:val=""/>
      <w:lvlJc w:val="left"/>
      <w:pPr>
        <w:ind w:left="720" w:hanging="360"/>
      </w:pPr>
      <w:rPr>
        <w:rFonts w:ascii="Symbol" w:hAnsi="Symbol" w:hint="default"/>
      </w:rPr>
    </w:lvl>
    <w:lvl w:ilvl="1" w:tplc="F1C6F1D2">
      <w:start w:val="1"/>
      <w:numFmt w:val="bullet"/>
      <w:lvlText w:val="o"/>
      <w:lvlJc w:val="left"/>
      <w:pPr>
        <w:ind w:left="1440" w:hanging="360"/>
      </w:pPr>
      <w:rPr>
        <w:rFonts w:ascii="Courier New" w:hAnsi="Courier New" w:hint="default"/>
      </w:rPr>
    </w:lvl>
    <w:lvl w:ilvl="2" w:tplc="8A82FF20">
      <w:start w:val="1"/>
      <w:numFmt w:val="bullet"/>
      <w:lvlText w:val=""/>
      <w:lvlJc w:val="left"/>
      <w:pPr>
        <w:ind w:left="2160" w:hanging="360"/>
      </w:pPr>
      <w:rPr>
        <w:rFonts w:ascii="Wingdings" w:hAnsi="Wingdings" w:hint="default"/>
      </w:rPr>
    </w:lvl>
    <w:lvl w:ilvl="3" w:tplc="3C1C4992">
      <w:start w:val="1"/>
      <w:numFmt w:val="bullet"/>
      <w:lvlText w:val=""/>
      <w:lvlJc w:val="left"/>
      <w:pPr>
        <w:ind w:left="2880" w:hanging="360"/>
      </w:pPr>
      <w:rPr>
        <w:rFonts w:ascii="Symbol" w:hAnsi="Symbol" w:hint="default"/>
      </w:rPr>
    </w:lvl>
    <w:lvl w:ilvl="4" w:tplc="F43643AE">
      <w:start w:val="1"/>
      <w:numFmt w:val="bullet"/>
      <w:lvlText w:val="o"/>
      <w:lvlJc w:val="left"/>
      <w:pPr>
        <w:ind w:left="3600" w:hanging="360"/>
      </w:pPr>
      <w:rPr>
        <w:rFonts w:ascii="Courier New" w:hAnsi="Courier New" w:hint="default"/>
      </w:rPr>
    </w:lvl>
    <w:lvl w:ilvl="5" w:tplc="D9C2761A">
      <w:start w:val="1"/>
      <w:numFmt w:val="bullet"/>
      <w:lvlText w:val=""/>
      <w:lvlJc w:val="left"/>
      <w:pPr>
        <w:ind w:left="4320" w:hanging="360"/>
      </w:pPr>
      <w:rPr>
        <w:rFonts w:ascii="Wingdings" w:hAnsi="Wingdings" w:hint="default"/>
      </w:rPr>
    </w:lvl>
    <w:lvl w:ilvl="6" w:tplc="50123522">
      <w:start w:val="1"/>
      <w:numFmt w:val="bullet"/>
      <w:lvlText w:val=""/>
      <w:lvlJc w:val="left"/>
      <w:pPr>
        <w:ind w:left="5040" w:hanging="360"/>
      </w:pPr>
      <w:rPr>
        <w:rFonts w:ascii="Symbol" w:hAnsi="Symbol" w:hint="default"/>
      </w:rPr>
    </w:lvl>
    <w:lvl w:ilvl="7" w:tplc="AA9A453A">
      <w:start w:val="1"/>
      <w:numFmt w:val="bullet"/>
      <w:lvlText w:val="o"/>
      <w:lvlJc w:val="left"/>
      <w:pPr>
        <w:ind w:left="5760" w:hanging="360"/>
      </w:pPr>
      <w:rPr>
        <w:rFonts w:ascii="Courier New" w:hAnsi="Courier New" w:hint="default"/>
      </w:rPr>
    </w:lvl>
    <w:lvl w:ilvl="8" w:tplc="31283334">
      <w:start w:val="1"/>
      <w:numFmt w:val="bullet"/>
      <w:lvlText w:val=""/>
      <w:lvlJc w:val="left"/>
      <w:pPr>
        <w:ind w:left="6480" w:hanging="360"/>
      </w:pPr>
      <w:rPr>
        <w:rFonts w:ascii="Wingdings" w:hAnsi="Wingdings" w:hint="default"/>
      </w:rPr>
    </w:lvl>
  </w:abstractNum>
  <w:abstractNum w:abstractNumId="6" w15:restartNumberingAfterBreak="0">
    <w:nsid w:val="236B6D92"/>
    <w:multiLevelType w:val="hybridMultilevel"/>
    <w:tmpl w:val="9EDA7DE2"/>
    <w:lvl w:ilvl="0" w:tplc="D3341350">
      <w:start w:val="1"/>
      <w:numFmt w:val="bullet"/>
      <w:lvlText w:val=""/>
      <w:lvlJc w:val="left"/>
      <w:pPr>
        <w:ind w:left="1020" w:hanging="360"/>
      </w:pPr>
      <w:rPr>
        <w:rFonts w:ascii="Symbol" w:hAnsi="Symbol"/>
      </w:rPr>
    </w:lvl>
    <w:lvl w:ilvl="1" w:tplc="327E93CC">
      <w:start w:val="1"/>
      <w:numFmt w:val="bullet"/>
      <w:lvlText w:val=""/>
      <w:lvlJc w:val="left"/>
      <w:pPr>
        <w:ind w:left="1020" w:hanging="360"/>
      </w:pPr>
      <w:rPr>
        <w:rFonts w:ascii="Symbol" w:hAnsi="Symbol"/>
      </w:rPr>
    </w:lvl>
    <w:lvl w:ilvl="2" w:tplc="60BC65D4">
      <w:start w:val="1"/>
      <w:numFmt w:val="bullet"/>
      <w:lvlText w:val=""/>
      <w:lvlJc w:val="left"/>
      <w:pPr>
        <w:ind w:left="1020" w:hanging="360"/>
      </w:pPr>
      <w:rPr>
        <w:rFonts w:ascii="Symbol" w:hAnsi="Symbol"/>
      </w:rPr>
    </w:lvl>
    <w:lvl w:ilvl="3" w:tplc="0100D196">
      <w:start w:val="1"/>
      <w:numFmt w:val="bullet"/>
      <w:lvlText w:val=""/>
      <w:lvlJc w:val="left"/>
      <w:pPr>
        <w:ind w:left="1020" w:hanging="360"/>
      </w:pPr>
      <w:rPr>
        <w:rFonts w:ascii="Symbol" w:hAnsi="Symbol"/>
      </w:rPr>
    </w:lvl>
    <w:lvl w:ilvl="4" w:tplc="087615B6">
      <w:start w:val="1"/>
      <w:numFmt w:val="bullet"/>
      <w:lvlText w:val=""/>
      <w:lvlJc w:val="left"/>
      <w:pPr>
        <w:ind w:left="1020" w:hanging="360"/>
      </w:pPr>
      <w:rPr>
        <w:rFonts w:ascii="Symbol" w:hAnsi="Symbol"/>
      </w:rPr>
    </w:lvl>
    <w:lvl w:ilvl="5" w:tplc="6A6AE800">
      <w:start w:val="1"/>
      <w:numFmt w:val="bullet"/>
      <w:lvlText w:val=""/>
      <w:lvlJc w:val="left"/>
      <w:pPr>
        <w:ind w:left="1020" w:hanging="360"/>
      </w:pPr>
      <w:rPr>
        <w:rFonts w:ascii="Symbol" w:hAnsi="Symbol"/>
      </w:rPr>
    </w:lvl>
    <w:lvl w:ilvl="6" w:tplc="E2C2C388">
      <w:start w:val="1"/>
      <w:numFmt w:val="bullet"/>
      <w:lvlText w:val=""/>
      <w:lvlJc w:val="left"/>
      <w:pPr>
        <w:ind w:left="1020" w:hanging="360"/>
      </w:pPr>
      <w:rPr>
        <w:rFonts w:ascii="Symbol" w:hAnsi="Symbol"/>
      </w:rPr>
    </w:lvl>
    <w:lvl w:ilvl="7" w:tplc="DE62118A">
      <w:start w:val="1"/>
      <w:numFmt w:val="bullet"/>
      <w:lvlText w:val=""/>
      <w:lvlJc w:val="left"/>
      <w:pPr>
        <w:ind w:left="1020" w:hanging="360"/>
      </w:pPr>
      <w:rPr>
        <w:rFonts w:ascii="Symbol" w:hAnsi="Symbol"/>
      </w:rPr>
    </w:lvl>
    <w:lvl w:ilvl="8" w:tplc="18D8893E">
      <w:start w:val="1"/>
      <w:numFmt w:val="bullet"/>
      <w:lvlText w:val=""/>
      <w:lvlJc w:val="left"/>
      <w:pPr>
        <w:ind w:left="1020" w:hanging="360"/>
      </w:pPr>
      <w:rPr>
        <w:rFonts w:ascii="Symbol" w:hAnsi="Symbol"/>
      </w:rPr>
    </w:lvl>
  </w:abstractNum>
  <w:abstractNum w:abstractNumId="7" w15:restartNumberingAfterBreak="0">
    <w:nsid w:val="23A65864"/>
    <w:multiLevelType w:val="hybridMultilevel"/>
    <w:tmpl w:val="60983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8F0614"/>
    <w:multiLevelType w:val="hybridMultilevel"/>
    <w:tmpl w:val="B99E5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183032"/>
    <w:multiLevelType w:val="hybridMultilevel"/>
    <w:tmpl w:val="4EB00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ED7128"/>
    <w:multiLevelType w:val="hybridMultilevel"/>
    <w:tmpl w:val="C04CC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F07A8B"/>
    <w:multiLevelType w:val="hybridMultilevel"/>
    <w:tmpl w:val="BE4038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D32C68"/>
    <w:multiLevelType w:val="hybridMultilevel"/>
    <w:tmpl w:val="C352C606"/>
    <w:lvl w:ilvl="0" w:tplc="690AFE2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E00A89"/>
    <w:multiLevelType w:val="hybridMultilevel"/>
    <w:tmpl w:val="BE403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92263"/>
    <w:multiLevelType w:val="hybridMultilevel"/>
    <w:tmpl w:val="C3C6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02212C"/>
    <w:multiLevelType w:val="hybridMultilevel"/>
    <w:tmpl w:val="7D82605A"/>
    <w:lvl w:ilvl="0" w:tplc="690AFE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81B3D"/>
    <w:multiLevelType w:val="hybridMultilevel"/>
    <w:tmpl w:val="3BD485E0"/>
    <w:lvl w:ilvl="0" w:tplc="477230FA">
      <w:start w:val="1"/>
      <w:numFmt w:val="bullet"/>
      <w:lvlText w:val=""/>
      <w:lvlJc w:val="left"/>
      <w:pPr>
        <w:ind w:left="1020" w:hanging="360"/>
      </w:pPr>
      <w:rPr>
        <w:rFonts w:ascii="Symbol" w:hAnsi="Symbol"/>
      </w:rPr>
    </w:lvl>
    <w:lvl w:ilvl="1" w:tplc="2CF040CC">
      <w:start w:val="1"/>
      <w:numFmt w:val="bullet"/>
      <w:lvlText w:val=""/>
      <w:lvlJc w:val="left"/>
      <w:pPr>
        <w:ind w:left="1020" w:hanging="360"/>
      </w:pPr>
      <w:rPr>
        <w:rFonts w:ascii="Symbol" w:hAnsi="Symbol"/>
      </w:rPr>
    </w:lvl>
    <w:lvl w:ilvl="2" w:tplc="28525DDA">
      <w:start w:val="1"/>
      <w:numFmt w:val="bullet"/>
      <w:lvlText w:val=""/>
      <w:lvlJc w:val="left"/>
      <w:pPr>
        <w:ind w:left="1020" w:hanging="360"/>
      </w:pPr>
      <w:rPr>
        <w:rFonts w:ascii="Symbol" w:hAnsi="Symbol"/>
      </w:rPr>
    </w:lvl>
    <w:lvl w:ilvl="3" w:tplc="07606872">
      <w:start w:val="1"/>
      <w:numFmt w:val="bullet"/>
      <w:lvlText w:val=""/>
      <w:lvlJc w:val="left"/>
      <w:pPr>
        <w:ind w:left="1020" w:hanging="360"/>
      </w:pPr>
      <w:rPr>
        <w:rFonts w:ascii="Symbol" w:hAnsi="Symbol"/>
      </w:rPr>
    </w:lvl>
    <w:lvl w:ilvl="4" w:tplc="4866F7B8">
      <w:start w:val="1"/>
      <w:numFmt w:val="bullet"/>
      <w:lvlText w:val=""/>
      <w:lvlJc w:val="left"/>
      <w:pPr>
        <w:ind w:left="1020" w:hanging="360"/>
      </w:pPr>
      <w:rPr>
        <w:rFonts w:ascii="Symbol" w:hAnsi="Symbol"/>
      </w:rPr>
    </w:lvl>
    <w:lvl w:ilvl="5" w:tplc="F05A6602">
      <w:start w:val="1"/>
      <w:numFmt w:val="bullet"/>
      <w:lvlText w:val=""/>
      <w:lvlJc w:val="left"/>
      <w:pPr>
        <w:ind w:left="1020" w:hanging="360"/>
      </w:pPr>
      <w:rPr>
        <w:rFonts w:ascii="Symbol" w:hAnsi="Symbol"/>
      </w:rPr>
    </w:lvl>
    <w:lvl w:ilvl="6" w:tplc="FA5C4FEE">
      <w:start w:val="1"/>
      <w:numFmt w:val="bullet"/>
      <w:lvlText w:val=""/>
      <w:lvlJc w:val="left"/>
      <w:pPr>
        <w:ind w:left="1020" w:hanging="360"/>
      </w:pPr>
      <w:rPr>
        <w:rFonts w:ascii="Symbol" w:hAnsi="Symbol"/>
      </w:rPr>
    </w:lvl>
    <w:lvl w:ilvl="7" w:tplc="E2269114">
      <w:start w:val="1"/>
      <w:numFmt w:val="bullet"/>
      <w:lvlText w:val=""/>
      <w:lvlJc w:val="left"/>
      <w:pPr>
        <w:ind w:left="1020" w:hanging="360"/>
      </w:pPr>
      <w:rPr>
        <w:rFonts w:ascii="Symbol" w:hAnsi="Symbol"/>
      </w:rPr>
    </w:lvl>
    <w:lvl w:ilvl="8" w:tplc="3728421C">
      <w:start w:val="1"/>
      <w:numFmt w:val="bullet"/>
      <w:lvlText w:val=""/>
      <w:lvlJc w:val="left"/>
      <w:pPr>
        <w:ind w:left="1020" w:hanging="360"/>
      </w:pPr>
      <w:rPr>
        <w:rFonts w:ascii="Symbol" w:hAnsi="Symbol"/>
      </w:rPr>
    </w:lvl>
  </w:abstractNum>
  <w:abstractNum w:abstractNumId="17" w15:restartNumberingAfterBreak="0">
    <w:nsid w:val="3DB75C3B"/>
    <w:multiLevelType w:val="hybridMultilevel"/>
    <w:tmpl w:val="19402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44497F"/>
    <w:multiLevelType w:val="hybridMultilevel"/>
    <w:tmpl w:val="847E692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0054F0D"/>
    <w:multiLevelType w:val="hybridMultilevel"/>
    <w:tmpl w:val="8786870C"/>
    <w:lvl w:ilvl="0" w:tplc="B43622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DC599E"/>
    <w:multiLevelType w:val="hybridMultilevel"/>
    <w:tmpl w:val="AE020026"/>
    <w:lvl w:ilvl="0" w:tplc="26B2CAC6">
      <w:start w:val="1"/>
      <w:numFmt w:val="bullet"/>
      <w:lvlText w:val=""/>
      <w:lvlJc w:val="left"/>
      <w:pPr>
        <w:ind w:left="1020" w:hanging="360"/>
      </w:pPr>
      <w:rPr>
        <w:rFonts w:ascii="Symbol" w:hAnsi="Symbol"/>
      </w:rPr>
    </w:lvl>
    <w:lvl w:ilvl="1" w:tplc="BD1C8C52">
      <w:start w:val="1"/>
      <w:numFmt w:val="bullet"/>
      <w:lvlText w:val=""/>
      <w:lvlJc w:val="left"/>
      <w:pPr>
        <w:ind w:left="1020" w:hanging="360"/>
      </w:pPr>
      <w:rPr>
        <w:rFonts w:ascii="Symbol" w:hAnsi="Symbol"/>
      </w:rPr>
    </w:lvl>
    <w:lvl w:ilvl="2" w:tplc="CC208070">
      <w:start w:val="1"/>
      <w:numFmt w:val="bullet"/>
      <w:lvlText w:val=""/>
      <w:lvlJc w:val="left"/>
      <w:pPr>
        <w:ind w:left="1020" w:hanging="360"/>
      </w:pPr>
      <w:rPr>
        <w:rFonts w:ascii="Symbol" w:hAnsi="Symbol"/>
      </w:rPr>
    </w:lvl>
    <w:lvl w:ilvl="3" w:tplc="F15CFC7E">
      <w:start w:val="1"/>
      <w:numFmt w:val="bullet"/>
      <w:lvlText w:val=""/>
      <w:lvlJc w:val="left"/>
      <w:pPr>
        <w:ind w:left="1020" w:hanging="360"/>
      </w:pPr>
      <w:rPr>
        <w:rFonts w:ascii="Symbol" w:hAnsi="Symbol"/>
      </w:rPr>
    </w:lvl>
    <w:lvl w:ilvl="4" w:tplc="338A94CA">
      <w:start w:val="1"/>
      <w:numFmt w:val="bullet"/>
      <w:lvlText w:val=""/>
      <w:lvlJc w:val="left"/>
      <w:pPr>
        <w:ind w:left="1020" w:hanging="360"/>
      </w:pPr>
      <w:rPr>
        <w:rFonts w:ascii="Symbol" w:hAnsi="Symbol"/>
      </w:rPr>
    </w:lvl>
    <w:lvl w:ilvl="5" w:tplc="A7143D72">
      <w:start w:val="1"/>
      <w:numFmt w:val="bullet"/>
      <w:lvlText w:val=""/>
      <w:lvlJc w:val="left"/>
      <w:pPr>
        <w:ind w:left="1020" w:hanging="360"/>
      </w:pPr>
      <w:rPr>
        <w:rFonts w:ascii="Symbol" w:hAnsi="Symbol"/>
      </w:rPr>
    </w:lvl>
    <w:lvl w:ilvl="6" w:tplc="BD16AF34">
      <w:start w:val="1"/>
      <w:numFmt w:val="bullet"/>
      <w:lvlText w:val=""/>
      <w:lvlJc w:val="left"/>
      <w:pPr>
        <w:ind w:left="1020" w:hanging="360"/>
      </w:pPr>
      <w:rPr>
        <w:rFonts w:ascii="Symbol" w:hAnsi="Symbol"/>
      </w:rPr>
    </w:lvl>
    <w:lvl w:ilvl="7" w:tplc="CD2CCD00">
      <w:start w:val="1"/>
      <w:numFmt w:val="bullet"/>
      <w:lvlText w:val=""/>
      <w:lvlJc w:val="left"/>
      <w:pPr>
        <w:ind w:left="1020" w:hanging="360"/>
      </w:pPr>
      <w:rPr>
        <w:rFonts w:ascii="Symbol" w:hAnsi="Symbol"/>
      </w:rPr>
    </w:lvl>
    <w:lvl w:ilvl="8" w:tplc="2EE2D9BE">
      <w:start w:val="1"/>
      <w:numFmt w:val="bullet"/>
      <w:lvlText w:val=""/>
      <w:lvlJc w:val="left"/>
      <w:pPr>
        <w:ind w:left="1020" w:hanging="360"/>
      </w:pPr>
      <w:rPr>
        <w:rFonts w:ascii="Symbol" w:hAnsi="Symbol"/>
      </w:rPr>
    </w:lvl>
  </w:abstractNum>
  <w:abstractNum w:abstractNumId="21" w15:restartNumberingAfterBreak="0">
    <w:nsid w:val="46A7252B"/>
    <w:multiLevelType w:val="hybridMultilevel"/>
    <w:tmpl w:val="39305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D35A23"/>
    <w:multiLevelType w:val="hybridMultilevel"/>
    <w:tmpl w:val="8CA04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B12369"/>
    <w:multiLevelType w:val="hybridMultilevel"/>
    <w:tmpl w:val="531A904C"/>
    <w:lvl w:ilvl="0" w:tplc="20D62C4E">
      <w:start w:val="1"/>
      <w:numFmt w:val="bullet"/>
      <w:lvlText w:val=""/>
      <w:lvlJc w:val="left"/>
      <w:pPr>
        <w:ind w:left="720" w:hanging="360"/>
      </w:pPr>
      <w:rPr>
        <w:rFonts w:ascii="Symbol" w:hAnsi="Symbol"/>
      </w:rPr>
    </w:lvl>
    <w:lvl w:ilvl="1" w:tplc="F1C25B8A">
      <w:start w:val="1"/>
      <w:numFmt w:val="bullet"/>
      <w:lvlText w:val=""/>
      <w:lvlJc w:val="left"/>
      <w:pPr>
        <w:ind w:left="720" w:hanging="360"/>
      </w:pPr>
      <w:rPr>
        <w:rFonts w:ascii="Symbol" w:hAnsi="Symbol"/>
      </w:rPr>
    </w:lvl>
    <w:lvl w:ilvl="2" w:tplc="13A6199A">
      <w:start w:val="1"/>
      <w:numFmt w:val="bullet"/>
      <w:lvlText w:val=""/>
      <w:lvlJc w:val="left"/>
      <w:pPr>
        <w:ind w:left="720" w:hanging="360"/>
      </w:pPr>
      <w:rPr>
        <w:rFonts w:ascii="Symbol" w:hAnsi="Symbol"/>
      </w:rPr>
    </w:lvl>
    <w:lvl w:ilvl="3" w:tplc="9E42B5AE">
      <w:start w:val="1"/>
      <w:numFmt w:val="bullet"/>
      <w:lvlText w:val=""/>
      <w:lvlJc w:val="left"/>
      <w:pPr>
        <w:ind w:left="720" w:hanging="360"/>
      </w:pPr>
      <w:rPr>
        <w:rFonts w:ascii="Symbol" w:hAnsi="Symbol"/>
      </w:rPr>
    </w:lvl>
    <w:lvl w:ilvl="4" w:tplc="60EA72BC">
      <w:start w:val="1"/>
      <w:numFmt w:val="bullet"/>
      <w:lvlText w:val=""/>
      <w:lvlJc w:val="left"/>
      <w:pPr>
        <w:ind w:left="720" w:hanging="360"/>
      </w:pPr>
      <w:rPr>
        <w:rFonts w:ascii="Symbol" w:hAnsi="Symbol"/>
      </w:rPr>
    </w:lvl>
    <w:lvl w:ilvl="5" w:tplc="06346C94">
      <w:start w:val="1"/>
      <w:numFmt w:val="bullet"/>
      <w:lvlText w:val=""/>
      <w:lvlJc w:val="left"/>
      <w:pPr>
        <w:ind w:left="720" w:hanging="360"/>
      </w:pPr>
      <w:rPr>
        <w:rFonts w:ascii="Symbol" w:hAnsi="Symbol"/>
      </w:rPr>
    </w:lvl>
    <w:lvl w:ilvl="6" w:tplc="E028E2EA">
      <w:start w:val="1"/>
      <w:numFmt w:val="bullet"/>
      <w:lvlText w:val=""/>
      <w:lvlJc w:val="left"/>
      <w:pPr>
        <w:ind w:left="720" w:hanging="360"/>
      </w:pPr>
      <w:rPr>
        <w:rFonts w:ascii="Symbol" w:hAnsi="Symbol"/>
      </w:rPr>
    </w:lvl>
    <w:lvl w:ilvl="7" w:tplc="E58834C4">
      <w:start w:val="1"/>
      <w:numFmt w:val="bullet"/>
      <w:lvlText w:val=""/>
      <w:lvlJc w:val="left"/>
      <w:pPr>
        <w:ind w:left="720" w:hanging="360"/>
      </w:pPr>
      <w:rPr>
        <w:rFonts w:ascii="Symbol" w:hAnsi="Symbol"/>
      </w:rPr>
    </w:lvl>
    <w:lvl w:ilvl="8" w:tplc="90DE2808">
      <w:start w:val="1"/>
      <w:numFmt w:val="bullet"/>
      <w:lvlText w:val=""/>
      <w:lvlJc w:val="left"/>
      <w:pPr>
        <w:ind w:left="720" w:hanging="360"/>
      </w:pPr>
      <w:rPr>
        <w:rFonts w:ascii="Symbol" w:hAnsi="Symbol"/>
      </w:rPr>
    </w:lvl>
  </w:abstractNum>
  <w:abstractNum w:abstractNumId="24" w15:restartNumberingAfterBreak="0">
    <w:nsid w:val="4ACA6B46"/>
    <w:multiLevelType w:val="hybridMultilevel"/>
    <w:tmpl w:val="6C2C6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29203C"/>
    <w:multiLevelType w:val="hybridMultilevel"/>
    <w:tmpl w:val="BF10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7E19B"/>
    <w:multiLevelType w:val="hybridMultilevel"/>
    <w:tmpl w:val="350EDA32"/>
    <w:lvl w:ilvl="0" w:tplc="72165206">
      <w:start w:val="1"/>
      <w:numFmt w:val="bullet"/>
      <w:lvlText w:val=""/>
      <w:lvlJc w:val="left"/>
      <w:pPr>
        <w:ind w:left="720" w:hanging="360"/>
      </w:pPr>
      <w:rPr>
        <w:rFonts w:ascii="Symbol" w:hAnsi="Symbol" w:hint="default"/>
      </w:rPr>
    </w:lvl>
    <w:lvl w:ilvl="1" w:tplc="375898F2">
      <w:start w:val="1"/>
      <w:numFmt w:val="bullet"/>
      <w:lvlText w:val="o"/>
      <w:lvlJc w:val="left"/>
      <w:pPr>
        <w:ind w:left="1440" w:hanging="360"/>
      </w:pPr>
      <w:rPr>
        <w:rFonts w:ascii="Courier New" w:hAnsi="Courier New" w:hint="default"/>
      </w:rPr>
    </w:lvl>
    <w:lvl w:ilvl="2" w:tplc="02D61334">
      <w:start w:val="1"/>
      <w:numFmt w:val="bullet"/>
      <w:lvlText w:val=""/>
      <w:lvlJc w:val="left"/>
      <w:pPr>
        <w:ind w:left="2160" w:hanging="360"/>
      </w:pPr>
      <w:rPr>
        <w:rFonts w:ascii="Wingdings" w:hAnsi="Wingdings" w:hint="default"/>
      </w:rPr>
    </w:lvl>
    <w:lvl w:ilvl="3" w:tplc="F578B11E">
      <w:start w:val="1"/>
      <w:numFmt w:val="bullet"/>
      <w:lvlText w:val=""/>
      <w:lvlJc w:val="left"/>
      <w:pPr>
        <w:ind w:left="2880" w:hanging="360"/>
      </w:pPr>
      <w:rPr>
        <w:rFonts w:ascii="Symbol" w:hAnsi="Symbol" w:hint="default"/>
      </w:rPr>
    </w:lvl>
    <w:lvl w:ilvl="4" w:tplc="7C80D93A">
      <w:start w:val="1"/>
      <w:numFmt w:val="bullet"/>
      <w:lvlText w:val="o"/>
      <w:lvlJc w:val="left"/>
      <w:pPr>
        <w:ind w:left="3600" w:hanging="360"/>
      </w:pPr>
      <w:rPr>
        <w:rFonts w:ascii="Courier New" w:hAnsi="Courier New" w:hint="default"/>
      </w:rPr>
    </w:lvl>
    <w:lvl w:ilvl="5" w:tplc="016CE112">
      <w:start w:val="1"/>
      <w:numFmt w:val="bullet"/>
      <w:lvlText w:val=""/>
      <w:lvlJc w:val="left"/>
      <w:pPr>
        <w:ind w:left="4320" w:hanging="360"/>
      </w:pPr>
      <w:rPr>
        <w:rFonts w:ascii="Wingdings" w:hAnsi="Wingdings" w:hint="default"/>
      </w:rPr>
    </w:lvl>
    <w:lvl w:ilvl="6" w:tplc="27FEC6E6">
      <w:start w:val="1"/>
      <w:numFmt w:val="bullet"/>
      <w:lvlText w:val=""/>
      <w:lvlJc w:val="left"/>
      <w:pPr>
        <w:ind w:left="5040" w:hanging="360"/>
      </w:pPr>
      <w:rPr>
        <w:rFonts w:ascii="Symbol" w:hAnsi="Symbol" w:hint="default"/>
      </w:rPr>
    </w:lvl>
    <w:lvl w:ilvl="7" w:tplc="187C9CC6">
      <w:start w:val="1"/>
      <w:numFmt w:val="bullet"/>
      <w:lvlText w:val="o"/>
      <w:lvlJc w:val="left"/>
      <w:pPr>
        <w:ind w:left="5760" w:hanging="360"/>
      </w:pPr>
      <w:rPr>
        <w:rFonts w:ascii="Courier New" w:hAnsi="Courier New" w:hint="default"/>
      </w:rPr>
    </w:lvl>
    <w:lvl w:ilvl="8" w:tplc="C45C76BA">
      <w:start w:val="1"/>
      <w:numFmt w:val="bullet"/>
      <w:lvlText w:val=""/>
      <w:lvlJc w:val="left"/>
      <w:pPr>
        <w:ind w:left="6480" w:hanging="360"/>
      </w:pPr>
      <w:rPr>
        <w:rFonts w:ascii="Wingdings" w:hAnsi="Wingdings" w:hint="default"/>
      </w:rPr>
    </w:lvl>
  </w:abstractNum>
  <w:abstractNum w:abstractNumId="27" w15:restartNumberingAfterBreak="0">
    <w:nsid w:val="56275ABB"/>
    <w:multiLevelType w:val="hybridMultilevel"/>
    <w:tmpl w:val="03B21E60"/>
    <w:styleLink w:val="ImportedStyle2"/>
    <w:lvl w:ilvl="0" w:tplc="93F47A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EC2E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1ABA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025C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7C32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228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8A05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7C35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E62A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655524F"/>
    <w:multiLevelType w:val="hybridMultilevel"/>
    <w:tmpl w:val="9D7E6654"/>
    <w:lvl w:ilvl="0" w:tplc="13C8274A">
      <w:start w:val="1"/>
      <w:numFmt w:val="bullet"/>
      <w:lvlText w:val=""/>
      <w:lvlJc w:val="left"/>
      <w:pPr>
        <w:ind w:left="720" w:hanging="360"/>
      </w:pPr>
      <w:rPr>
        <w:rFonts w:ascii="Symbol" w:hAnsi="Symbol" w:hint="default"/>
      </w:rPr>
    </w:lvl>
    <w:lvl w:ilvl="1" w:tplc="B06C9EF6">
      <w:start w:val="1"/>
      <w:numFmt w:val="bullet"/>
      <w:lvlText w:val="o"/>
      <w:lvlJc w:val="left"/>
      <w:pPr>
        <w:ind w:left="1440" w:hanging="360"/>
      </w:pPr>
      <w:rPr>
        <w:rFonts w:ascii="Courier New" w:hAnsi="Courier New" w:hint="default"/>
      </w:rPr>
    </w:lvl>
    <w:lvl w:ilvl="2" w:tplc="B25860E4">
      <w:start w:val="1"/>
      <w:numFmt w:val="bullet"/>
      <w:lvlText w:val=""/>
      <w:lvlJc w:val="left"/>
      <w:pPr>
        <w:ind w:left="2160" w:hanging="360"/>
      </w:pPr>
      <w:rPr>
        <w:rFonts w:ascii="Wingdings" w:hAnsi="Wingdings" w:hint="default"/>
      </w:rPr>
    </w:lvl>
    <w:lvl w:ilvl="3" w:tplc="749E6994">
      <w:start w:val="1"/>
      <w:numFmt w:val="bullet"/>
      <w:lvlText w:val=""/>
      <w:lvlJc w:val="left"/>
      <w:pPr>
        <w:ind w:left="2880" w:hanging="360"/>
      </w:pPr>
      <w:rPr>
        <w:rFonts w:ascii="Symbol" w:hAnsi="Symbol" w:hint="default"/>
      </w:rPr>
    </w:lvl>
    <w:lvl w:ilvl="4" w:tplc="DCFA11CA">
      <w:start w:val="1"/>
      <w:numFmt w:val="bullet"/>
      <w:lvlText w:val="o"/>
      <w:lvlJc w:val="left"/>
      <w:pPr>
        <w:ind w:left="3600" w:hanging="360"/>
      </w:pPr>
      <w:rPr>
        <w:rFonts w:ascii="Courier New" w:hAnsi="Courier New" w:hint="default"/>
      </w:rPr>
    </w:lvl>
    <w:lvl w:ilvl="5" w:tplc="CB400F58">
      <w:start w:val="1"/>
      <w:numFmt w:val="bullet"/>
      <w:lvlText w:val=""/>
      <w:lvlJc w:val="left"/>
      <w:pPr>
        <w:ind w:left="4320" w:hanging="360"/>
      </w:pPr>
      <w:rPr>
        <w:rFonts w:ascii="Wingdings" w:hAnsi="Wingdings" w:hint="default"/>
      </w:rPr>
    </w:lvl>
    <w:lvl w:ilvl="6" w:tplc="EB3E448C">
      <w:start w:val="1"/>
      <w:numFmt w:val="bullet"/>
      <w:lvlText w:val=""/>
      <w:lvlJc w:val="left"/>
      <w:pPr>
        <w:ind w:left="5040" w:hanging="360"/>
      </w:pPr>
      <w:rPr>
        <w:rFonts w:ascii="Symbol" w:hAnsi="Symbol" w:hint="default"/>
      </w:rPr>
    </w:lvl>
    <w:lvl w:ilvl="7" w:tplc="18EECB54">
      <w:start w:val="1"/>
      <w:numFmt w:val="bullet"/>
      <w:lvlText w:val="o"/>
      <w:lvlJc w:val="left"/>
      <w:pPr>
        <w:ind w:left="5760" w:hanging="360"/>
      </w:pPr>
      <w:rPr>
        <w:rFonts w:ascii="Courier New" w:hAnsi="Courier New" w:hint="default"/>
      </w:rPr>
    </w:lvl>
    <w:lvl w:ilvl="8" w:tplc="0A3272DE">
      <w:start w:val="1"/>
      <w:numFmt w:val="bullet"/>
      <w:lvlText w:val=""/>
      <w:lvlJc w:val="left"/>
      <w:pPr>
        <w:ind w:left="6480" w:hanging="360"/>
      </w:pPr>
      <w:rPr>
        <w:rFonts w:ascii="Wingdings" w:hAnsi="Wingdings" w:hint="default"/>
      </w:rPr>
    </w:lvl>
  </w:abstractNum>
  <w:abstractNum w:abstractNumId="29" w15:restartNumberingAfterBreak="0">
    <w:nsid w:val="58F4FB87"/>
    <w:multiLevelType w:val="hybridMultilevel"/>
    <w:tmpl w:val="5E28A986"/>
    <w:lvl w:ilvl="0" w:tplc="0E0403A6">
      <w:start w:val="1"/>
      <w:numFmt w:val="bullet"/>
      <w:lvlText w:val=""/>
      <w:lvlJc w:val="left"/>
      <w:pPr>
        <w:ind w:left="720" w:hanging="360"/>
      </w:pPr>
      <w:rPr>
        <w:rFonts w:ascii="Symbol" w:hAnsi="Symbol" w:hint="default"/>
      </w:rPr>
    </w:lvl>
    <w:lvl w:ilvl="1" w:tplc="5BD8DFBA">
      <w:start w:val="1"/>
      <w:numFmt w:val="bullet"/>
      <w:lvlText w:val="o"/>
      <w:lvlJc w:val="left"/>
      <w:pPr>
        <w:ind w:left="1440" w:hanging="360"/>
      </w:pPr>
      <w:rPr>
        <w:rFonts w:ascii="Courier New" w:hAnsi="Courier New" w:hint="default"/>
      </w:rPr>
    </w:lvl>
    <w:lvl w:ilvl="2" w:tplc="7DD0053E">
      <w:start w:val="1"/>
      <w:numFmt w:val="bullet"/>
      <w:lvlText w:val=""/>
      <w:lvlJc w:val="left"/>
      <w:pPr>
        <w:ind w:left="2160" w:hanging="360"/>
      </w:pPr>
      <w:rPr>
        <w:rFonts w:ascii="Wingdings" w:hAnsi="Wingdings" w:hint="default"/>
      </w:rPr>
    </w:lvl>
    <w:lvl w:ilvl="3" w:tplc="69682F66">
      <w:start w:val="1"/>
      <w:numFmt w:val="bullet"/>
      <w:lvlText w:val=""/>
      <w:lvlJc w:val="left"/>
      <w:pPr>
        <w:ind w:left="2880" w:hanging="360"/>
      </w:pPr>
      <w:rPr>
        <w:rFonts w:ascii="Symbol" w:hAnsi="Symbol" w:hint="default"/>
      </w:rPr>
    </w:lvl>
    <w:lvl w:ilvl="4" w:tplc="EA82171C">
      <w:start w:val="1"/>
      <w:numFmt w:val="bullet"/>
      <w:lvlText w:val="o"/>
      <w:lvlJc w:val="left"/>
      <w:pPr>
        <w:ind w:left="3600" w:hanging="360"/>
      </w:pPr>
      <w:rPr>
        <w:rFonts w:ascii="Courier New" w:hAnsi="Courier New" w:hint="default"/>
      </w:rPr>
    </w:lvl>
    <w:lvl w:ilvl="5" w:tplc="DD220A0E">
      <w:start w:val="1"/>
      <w:numFmt w:val="bullet"/>
      <w:lvlText w:val=""/>
      <w:lvlJc w:val="left"/>
      <w:pPr>
        <w:ind w:left="4320" w:hanging="360"/>
      </w:pPr>
      <w:rPr>
        <w:rFonts w:ascii="Wingdings" w:hAnsi="Wingdings" w:hint="default"/>
      </w:rPr>
    </w:lvl>
    <w:lvl w:ilvl="6" w:tplc="3D28A2FE">
      <w:start w:val="1"/>
      <w:numFmt w:val="bullet"/>
      <w:lvlText w:val=""/>
      <w:lvlJc w:val="left"/>
      <w:pPr>
        <w:ind w:left="5040" w:hanging="360"/>
      </w:pPr>
      <w:rPr>
        <w:rFonts w:ascii="Symbol" w:hAnsi="Symbol" w:hint="default"/>
      </w:rPr>
    </w:lvl>
    <w:lvl w:ilvl="7" w:tplc="6B1A2DFA">
      <w:start w:val="1"/>
      <w:numFmt w:val="bullet"/>
      <w:lvlText w:val="o"/>
      <w:lvlJc w:val="left"/>
      <w:pPr>
        <w:ind w:left="5760" w:hanging="360"/>
      </w:pPr>
      <w:rPr>
        <w:rFonts w:ascii="Courier New" w:hAnsi="Courier New" w:hint="default"/>
      </w:rPr>
    </w:lvl>
    <w:lvl w:ilvl="8" w:tplc="30F0B3C4">
      <w:start w:val="1"/>
      <w:numFmt w:val="bullet"/>
      <w:lvlText w:val=""/>
      <w:lvlJc w:val="left"/>
      <w:pPr>
        <w:ind w:left="6480" w:hanging="360"/>
      </w:pPr>
      <w:rPr>
        <w:rFonts w:ascii="Wingdings" w:hAnsi="Wingdings" w:hint="default"/>
      </w:rPr>
    </w:lvl>
  </w:abstractNum>
  <w:abstractNum w:abstractNumId="30" w15:restartNumberingAfterBreak="0">
    <w:nsid w:val="59BF2F6B"/>
    <w:multiLevelType w:val="hybridMultilevel"/>
    <w:tmpl w:val="3F922014"/>
    <w:lvl w:ilvl="0" w:tplc="CC8A7DB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EE383B"/>
    <w:multiLevelType w:val="hybridMultilevel"/>
    <w:tmpl w:val="BD62F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E28396"/>
    <w:multiLevelType w:val="hybridMultilevel"/>
    <w:tmpl w:val="D39C917C"/>
    <w:lvl w:ilvl="0" w:tplc="BEE61BB8">
      <w:start w:val="1"/>
      <w:numFmt w:val="bullet"/>
      <w:lvlText w:val=""/>
      <w:lvlJc w:val="left"/>
      <w:pPr>
        <w:ind w:left="720" w:hanging="360"/>
      </w:pPr>
      <w:rPr>
        <w:rFonts w:ascii="Symbol" w:hAnsi="Symbol" w:hint="default"/>
      </w:rPr>
    </w:lvl>
    <w:lvl w:ilvl="1" w:tplc="A41672B2">
      <w:start w:val="1"/>
      <w:numFmt w:val="bullet"/>
      <w:lvlText w:val="o"/>
      <w:lvlJc w:val="left"/>
      <w:pPr>
        <w:ind w:left="1440" w:hanging="360"/>
      </w:pPr>
      <w:rPr>
        <w:rFonts w:ascii="Courier New" w:hAnsi="Courier New" w:hint="default"/>
      </w:rPr>
    </w:lvl>
    <w:lvl w:ilvl="2" w:tplc="797C20C2">
      <w:start w:val="1"/>
      <w:numFmt w:val="bullet"/>
      <w:lvlText w:val=""/>
      <w:lvlJc w:val="left"/>
      <w:pPr>
        <w:ind w:left="2160" w:hanging="360"/>
      </w:pPr>
      <w:rPr>
        <w:rFonts w:ascii="Wingdings" w:hAnsi="Wingdings" w:hint="default"/>
      </w:rPr>
    </w:lvl>
    <w:lvl w:ilvl="3" w:tplc="2932EFA6">
      <w:start w:val="1"/>
      <w:numFmt w:val="bullet"/>
      <w:lvlText w:val=""/>
      <w:lvlJc w:val="left"/>
      <w:pPr>
        <w:ind w:left="2880" w:hanging="360"/>
      </w:pPr>
      <w:rPr>
        <w:rFonts w:ascii="Symbol" w:hAnsi="Symbol" w:hint="default"/>
      </w:rPr>
    </w:lvl>
    <w:lvl w:ilvl="4" w:tplc="6CC40734">
      <w:start w:val="1"/>
      <w:numFmt w:val="bullet"/>
      <w:lvlText w:val="o"/>
      <w:lvlJc w:val="left"/>
      <w:pPr>
        <w:ind w:left="3600" w:hanging="360"/>
      </w:pPr>
      <w:rPr>
        <w:rFonts w:ascii="Courier New" w:hAnsi="Courier New" w:hint="default"/>
      </w:rPr>
    </w:lvl>
    <w:lvl w:ilvl="5" w:tplc="D9E246B6">
      <w:start w:val="1"/>
      <w:numFmt w:val="bullet"/>
      <w:lvlText w:val=""/>
      <w:lvlJc w:val="left"/>
      <w:pPr>
        <w:ind w:left="4320" w:hanging="360"/>
      </w:pPr>
      <w:rPr>
        <w:rFonts w:ascii="Wingdings" w:hAnsi="Wingdings" w:hint="default"/>
      </w:rPr>
    </w:lvl>
    <w:lvl w:ilvl="6" w:tplc="33F2157A">
      <w:start w:val="1"/>
      <w:numFmt w:val="bullet"/>
      <w:lvlText w:val=""/>
      <w:lvlJc w:val="left"/>
      <w:pPr>
        <w:ind w:left="5040" w:hanging="360"/>
      </w:pPr>
      <w:rPr>
        <w:rFonts w:ascii="Symbol" w:hAnsi="Symbol" w:hint="default"/>
      </w:rPr>
    </w:lvl>
    <w:lvl w:ilvl="7" w:tplc="2D9892B6">
      <w:start w:val="1"/>
      <w:numFmt w:val="bullet"/>
      <w:lvlText w:val="o"/>
      <w:lvlJc w:val="left"/>
      <w:pPr>
        <w:ind w:left="5760" w:hanging="360"/>
      </w:pPr>
      <w:rPr>
        <w:rFonts w:ascii="Courier New" w:hAnsi="Courier New" w:hint="default"/>
      </w:rPr>
    </w:lvl>
    <w:lvl w:ilvl="8" w:tplc="E9DAD70E">
      <w:start w:val="1"/>
      <w:numFmt w:val="bullet"/>
      <w:lvlText w:val=""/>
      <w:lvlJc w:val="left"/>
      <w:pPr>
        <w:ind w:left="6480" w:hanging="360"/>
      </w:pPr>
      <w:rPr>
        <w:rFonts w:ascii="Wingdings" w:hAnsi="Wingdings" w:hint="default"/>
      </w:rPr>
    </w:lvl>
  </w:abstractNum>
  <w:abstractNum w:abstractNumId="33" w15:restartNumberingAfterBreak="0">
    <w:nsid w:val="666C0D48"/>
    <w:multiLevelType w:val="hybridMultilevel"/>
    <w:tmpl w:val="48929FDE"/>
    <w:lvl w:ilvl="0" w:tplc="83CEE49E">
      <w:start w:val="1"/>
      <w:numFmt w:val="decimal"/>
      <w:lvlText w:val="%1."/>
      <w:lvlJc w:val="left"/>
      <w:pPr>
        <w:ind w:left="1020" w:hanging="360"/>
      </w:pPr>
    </w:lvl>
    <w:lvl w:ilvl="1" w:tplc="148A48C0">
      <w:start w:val="1"/>
      <w:numFmt w:val="decimal"/>
      <w:lvlText w:val="%2."/>
      <w:lvlJc w:val="left"/>
      <w:pPr>
        <w:ind w:left="1020" w:hanging="360"/>
      </w:pPr>
    </w:lvl>
    <w:lvl w:ilvl="2" w:tplc="5416277C">
      <w:start w:val="1"/>
      <w:numFmt w:val="decimal"/>
      <w:lvlText w:val="%3."/>
      <w:lvlJc w:val="left"/>
      <w:pPr>
        <w:ind w:left="1020" w:hanging="360"/>
      </w:pPr>
    </w:lvl>
    <w:lvl w:ilvl="3" w:tplc="2B34DAB4">
      <w:start w:val="1"/>
      <w:numFmt w:val="decimal"/>
      <w:lvlText w:val="%4."/>
      <w:lvlJc w:val="left"/>
      <w:pPr>
        <w:ind w:left="1020" w:hanging="360"/>
      </w:pPr>
    </w:lvl>
    <w:lvl w:ilvl="4" w:tplc="A90E0C46">
      <w:start w:val="1"/>
      <w:numFmt w:val="decimal"/>
      <w:lvlText w:val="%5."/>
      <w:lvlJc w:val="left"/>
      <w:pPr>
        <w:ind w:left="1020" w:hanging="360"/>
      </w:pPr>
    </w:lvl>
    <w:lvl w:ilvl="5" w:tplc="1A42A11E">
      <w:start w:val="1"/>
      <w:numFmt w:val="decimal"/>
      <w:lvlText w:val="%6."/>
      <w:lvlJc w:val="left"/>
      <w:pPr>
        <w:ind w:left="1020" w:hanging="360"/>
      </w:pPr>
    </w:lvl>
    <w:lvl w:ilvl="6" w:tplc="A2FE7DA0">
      <w:start w:val="1"/>
      <w:numFmt w:val="decimal"/>
      <w:lvlText w:val="%7."/>
      <w:lvlJc w:val="left"/>
      <w:pPr>
        <w:ind w:left="1020" w:hanging="360"/>
      </w:pPr>
    </w:lvl>
    <w:lvl w:ilvl="7" w:tplc="FE780604">
      <w:start w:val="1"/>
      <w:numFmt w:val="decimal"/>
      <w:lvlText w:val="%8."/>
      <w:lvlJc w:val="left"/>
      <w:pPr>
        <w:ind w:left="1020" w:hanging="360"/>
      </w:pPr>
    </w:lvl>
    <w:lvl w:ilvl="8" w:tplc="3FC24B94">
      <w:start w:val="1"/>
      <w:numFmt w:val="decimal"/>
      <w:lvlText w:val="%9."/>
      <w:lvlJc w:val="left"/>
      <w:pPr>
        <w:ind w:left="1020" w:hanging="360"/>
      </w:pPr>
    </w:lvl>
  </w:abstractNum>
  <w:abstractNum w:abstractNumId="34" w15:restartNumberingAfterBreak="0">
    <w:nsid w:val="6DF2366C"/>
    <w:multiLevelType w:val="hybridMultilevel"/>
    <w:tmpl w:val="83280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8692C3"/>
    <w:multiLevelType w:val="hybridMultilevel"/>
    <w:tmpl w:val="237EE3CE"/>
    <w:lvl w:ilvl="0" w:tplc="0A76C644">
      <w:start w:val="1"/>
      <w:numFmt w:val="bullet"/>
      <w:lvlText w:val=""/>
      <w:lvlJc w:val="left"/>
      <w:pPr>
        <w:ind w:left="720" w:hanging="360"/>
      </w:pPr>
      <w:rPr>
        <w:rFonts w:ascii="Symbol" w:hAnsi="Symbol" w:hint="default"/>
      </w:rPr>
    </w:lvl>
    <w:lvl w:ilvl="1" w:tplc="BA189FBE">
      <w:start w:val="1"/>
      <w:numFmt w:val="bullet"/>
      <w:lvlText w:val="o"/>
      <w:lvlJc w:val="left"/>
      <w:pPr>
        <w:ind w:left="1440" w:hanging="360"/>
      </w:pPr>
      <w:rPr>
        <w:rFonts w:ascii="Courier New" w:hAnsi="Courier New" w:hint="default"/>
      </w:rPr>
    </w:lvl>
    <w:lvl w:ilvl="2" w:tplc="AEF6AF58">
      <w:start w:val="1"/>
      <w:numFmt w:val="bullet"/>
      <w:lvlText w:val=""/>
      <w:lvlJc w:val="left"/>
      <w:pPr>
        <w:ind w:left="2160" w:hanging="360"/>
      </w:pPr>
      <w:rPr>
        <w:rFonts w:ascii="Wingdings" w:hAnsi="Wingdings" w:hint="default"/>
      </w:rPr>
    </w:lvl>
    <w:lvl w:ilvl="3" w:tplc="3BDAA71A">
      <w:start w:val="1"/>
      <w:numFmt w:val="bullet"/>
      <w:lvlText w:val=""/>
      <w:lvlJc w:val="left"/>
      <w:pPr>
        <w:ind w:left="2880" w:hanging="360"/>
      </w:pPr>
      <w:rPr>
        <w:rFonts w:ascii="Symbol" w:hAnsi="Symbol" w:hint="default"/>
      </w:rPr>
    </w:lvl>
    <w:lvl w:ilvl="4" w:tplc="37DE8B34">
      <w:start w:val="1"/>
      <w:numFmt w:val="bullet"/>
      <w:lvlText w:val="o"/>
      <w:lvlJc w:val="left"/>
      <w:pPr>
        <w:ind w:left="3600" w:hanging="360"/>
      </w:pPr>
      <w:rPr>
        <w:rFonts w:ascii="Courier New" w:hAnsi="Courier New" w:hint="default"/>
      </w:rPr>
    </w:lvl>
    <w:lvl w:ilvl="5" w:tplc="C8585346">
      <w:start w:val="1"/>
      <w:numFmt w:val="bullet"/>
      <w:lvlText w:val=""/>
      <w:lvlJc w:val="left"/>
      <w:pPr>
        <w:ind w:left="4320" w:hanging="360"/>
      </w:pPr>
      <w:rPr>
        <w:rFonts w:ascii="Wingdings" w:hAnsi="Wingdings" w:hint="default"/>
      </w:rPr>
    </w:lvl>
    <w:lvl w:ilvl="6" w:tplc="132E3932">
      <w:start w:val="1"/>
      <w:numFmt w:val="bullet"/>
      <w:lvlText w:val=""/>
      <w:lvlJc w:val="left"/>
      <w:pPr>
        <w:ind w:left="5040" w:hanging="360"/>
      </w:pPr>
      <w:rPr>
        <w:rFonts w:ascii="Symbol" w:hAnsi="Symbol" w:hint="default"/>
      </w:rPr>
    </w:lvl>
    <w:lvl w:ilvl="7" w:tplc="B9CEA78C">
      <w:start w:val="1"/>
      <w:numFmt w:val="bullet"/>
      <w:lvlText w:val="o"/>
      <w:lvlJc w:val="left"/>
      <w:pPr>
        <w:ind w:left="5760" w:hanging="360"/>
      </w:pPr>
      <w:rPr>
        <w:rFonts w:ascii="Courier New" w:hAnsi="Courier New" w:hint="default"/>
      </w:rPr>
    </w:lvl>
    <w:lvl w:ilvl="8" w:tplc="1CE28EF2">
      <w:start w:val="1"/>
      <w:numFmt w:val="bullet"/>
      <w:lvlText w:val=""/>
      <w:lvlJc w:val="left"/>
      <w:pPr>
        <w:ind w:left="6480" w:hanging="360"/>
      </w:pPr>
      <w:rPr>
        <w:rFonts w:ascii="Wingdings" w:hAnsi="Wingdings" w:hint="default"/>
      </w:rPr>
    </w:lvl>
  </w:abstractNum>
  <w:abstractNum w:abstractNumId="36" w15:restartNumberingAfterBreak="0">
    <w:nsid w:val="7904EC34"/>
    <w:multiLevelType w:val="hybridMultilevel"/>
    <w:tmpl w:val="859630A8"/>
    <w:lvl w:ilvl="0" w:tplc="2188ADB4">
      <w:start w:val="1"/>
      <w:numFmt w:val="bullet"/>
      <w:lvlText w:val=""/>
      <w:lvlJc w:val="left"/>
      <w:pPr>
        <w:ind w:left="720" w:hanging="360"/>
      </w:pPr>
      <w:rPr>
        <w:rFonts w:ascii="Symbol" w:hAnsi="Symbol" w:hint="default"/>
      </w:rPr>
    </w:lvl>
    <w:lvl w:ilvl="1" w:tplc="3CE4647C">
      <w:start w:val="1"/>
      <w:numFmt w:val="bullet"/>
      <w:lvlText w:val="o"/>
      <w:lvlJc w:val="left"/>
      <w:pPr>
        <w:ind w:left="1440" w:hanging="360"/>
      </w:pPr>
      <w:rPr>
        <w:rFonts w:ascii="Courier New" w:hAnsi="Courier New" w:hint="default"/>
      </w:rPr>
    </w:lvl>
    <w:lvl w:ilvl="2" w:tplc="6150B8CA">
      <w:start w:val="1"/>
      <w:numFmt w:val="bullet"/>
      <w:lvlText w:val=""/>
      <w:lvlJc w:val="left"/>
      <w:pPr>
        <w:ind w:left="2160" w:hanging="360"/>
      </w:pPr>
      <w:rPr>
        <w:rFonts w:ascii="Wingdings" w:hAnsi="Wingdings" w:hint="default"/>
      </w:rPr>
    </w:lvl>
    <w:lvl w:ilvl="3" w:tplc="A218FE80">
      <w:start w:val="1"/>
      <w:numFmt w:val="bullet"/>
      <w:lvlText w:val=""/>
      <w:lvlJc w:val="left"/>
      <w:pPr>
        <w:ind w:left="2880" w:hanging="360"/>
      </w:pPr>
      <w:rPr>
        <w:rFonts w:ascii="Symbol" w:hAnsi="Symbol" w:hint="default"/>
      </w:rPr>
    </w:lvl>
    <w:lvl w:ilvl="4" w:tplc="41C4866E">
      <w:start w:val="1"/>
      <w:numFmt w:val="bullet"/>
      <w:lvlText w:val="o"/>
      <w:lvlJc w:val="left"/>
      <w:pPr>
        <w:ind w:left="3600" w:hanging="360"/>
      </w:pPr>
      <w:rPr>
        <w:rFonts w:ascii="Courier New" w:hAnsi="Courier New" w:hint="default"/>
      </w:rPr>
    </w:lvl>
    <w:lvl w:ilvl="5" w:tplc="CE52AB6C">
      <w:start w:val="1"/>
      <w:numFmt w:val="bullet"/>
      <w:lvlText w:val=""/>
      <w:lvlJc w:val="left"/>
      <w:pPr>
        <w:ind w:left="4320" w:hanging="360"/>
      </w:pPr>
      <w:rPr>
        <w:rFonts w:ascii="Wingdings" w:hAnsi="Wingdings" w:hint="default"/>
      </w:rPr>
    </w:lvl>
    <w:lvl w:ilvl="6" w:tplc="C4EAD830">
      <w:start w:val="1"/>
      <w:numFmt w:val="bullet"/>
      <w:lvlText w:val=""/>
      <w:lvlJc w:val="left"/>
      <w:pPr>
        <w:ind w:left="5040" w:hanging="360"/>
      </w:pPr>
      <w:rPr>
        <w:rFonts w:ascii="Symbol" w:hAnsi="Symbol" w:hint="default"/>
      </w:rPr>
    </w:lvl>
    <w:lvl w:ilvl="7" w:tplc="448C24D2">
      <w:start w:val="1"/>
      <w:numFmt w:val="bullet"/>
      <w:lvlText w:val="o"/>
      <w:lvlJc w:val="left"/>
      <w:pPr>
        <w:ind w:left="5760" w:hanging="360"/>
      </w:pPr>
      <w:rPr>
        <w:rFonts w:ascii="Courier New" w:hAnsi="Courier New" w:hint="default"/>
      </w:rPr>
    </w:lvl>
    <w:lvl w:ilvl="8" w:tplc="E1B8DC0A">
      <w:start w:val="1"/>
      <w:numFmt w:val="bullet"/>
      <w:lvlText w:val=""/>
      <w:lvlJc w:val="left"/>
      <w:pPr>
        <w:ind w:left="6480" w:hanging="360"/>
      </w:pPr>
      <w:rPr>
        <w:rFonts w:ascii="Wingdings" w:hAnsi="Wingdings" w:hint="default"/>
      </w:rPr>
    </w:lvl>
  </w:abstractNum>
  <w:abstractNum w:abstractNumId="37" w15:restartNumberingAfterBreak="0">
    <w:nsid w:val="79D06EDE"/>
    <w:multiLevelType w:val="hybridMultilevel"/>
    <w:tmpl w:val="0524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514C84"/>
    <w:multiLevelType w:val="hybridMultilevel"/>
    <w:tmpl w:val="4E4A03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44975614">
    <w:abstractNumId w:val="26"/>
  </w:num>
  <w:num w:numId="2" w16cid:durableId="285816768">
    <w:abstractNumId w:val="35"/>
  </w:num>
  <w:num w:numId="3" w16cid:durableId="1467308478">
    <w:abstractNumId w:val="29"/>
  </w:num>
  <w:num w:numId="4" w16cid:durableId="1550875679">
    <w:abstractNumId w:val="5"/>
  </w:num>
  <w:num w:numId="5" w16cid:durableId="466358189">
    <w:abstractNumId w:val="2"/>
  </w:num>
  <w:num w:numId="6" w16cid:durableId="552498707">
    <w:abstractNumId w:val="36"/>
  </w:num>
  <w:num w:numId="7" w16cid:durableId="58133264">
    <w:abstractNumId w:val="28"/>
  </w:num>
  <w:num w:numId="8" w16cid:durableId="1723360466">
    <w:abstractNumId w:val="32"/>
  </w:num>
  <w:num w:numId="9" w16cid:durableId="553590621">
    <w:abstractNumId w:val="0"/>
  </w:num>
  <w:num w:numId="10" w16cid:durableId="2008514423">
    <w:abstractNumId w:val="24"/>
  </w:num>
  <w:num w:numId="11" w16cid:durableId="710611377">
    <w:abstractNumId w:val="3"/>
  </w:num>
  <w:num w:numId="12" w16cid:durableId="1824657423">
    <w:abstractNumId w:val="14"/>
  </w:num>
  <w:num w:numId="13" w16cid:durableId="599483470">
    <w:abstractNumId w:val="27"/>
  </w:num>
  <w:num w:numId="14" w16cid:durableId="834564794">
    <w:abstractNumId w:val="1"/>
  </w:num>
  <w:num w:numId="15" w16cid:durableId="1288512034">
    <w:abstractNumId w:val="7"/>
  </w:num>
  <w:num w:numId="16" w16cid:durableId="977999448">
    <w:abstractNumId w:val="34"/>
  </w:num>
  <w:num w:numId="17" w16cid:durableId="891888104">
    <w:abstractNumId w:val="38"/>
  </w:num>
  <w:num w:numId="18" w16cid:durableId="209732738">
    <w:abstractNumId w:val="37"/>
  </w:num>
  <w:num w:numId="19" w16cid:durableId="1650087443">
    <w:abstractNumId w:val="19"/>
  </w:num>
  <w:num w:numId="20" w16cid:durableId="869606529">
    <w:abstractNumId w:val="9"/>
  </w:num>
  <w:num w:numId="21" w16cid:durableId="1255168118">
    <w:abstractNumId w:val="30"/>
  </w:num>
  <w:num w:numId="22" w16cid:durableId="1746874948">
    <w:abstractNumId w:val="8"/>
  </w:num>
  <w:num w:numId="23" w16cid:durableId="1033074533">
    <w:abstractNumId w:val="13"/>
  </w:num>
  <w:num w:numId="24" w16cid:durableId="1974171307">
    <w:abstractNumId w:val="11"/>
  </w:num>
  <w:num w:numId="25" w16cid:durableId="2047481313">
    <w:abstractNumId w:val="33"/>
  </w:num>
  <w:num w:numId="26" w16cid:durableId="1448550261">
    <w:abstractNumId w:val="16"/>
  </w:num>
  <w:num w:numId="27" w16cid:durableId="300618004">
    <w:abstractNumId w:val="23"/>
  </w:num>
  <w:num w:numId="28" w16cid:durableId="988553416">
    <w:abstractNumId w:val="6"/>
  </w:num>
  <w:num w:numId="29" w16cid:durableId="1918467910">
    <w:abstractNumId w:val="20"/>
  </w:num>
  <w:num w:numId="30" w16cid:durableId="769735865">
    <w:abstractNumId w:val="25"/>
  </w:num>
  <w:num w:numId="31" w16cid:durableId="1189756139">
    <w:abstractNumId w:val="12"/>
  </w:num>
  <w:num w:numId="32" w16cid:durableId="1980770254">
    <w:abstractNumId w:val="15"/>
  </w:num>
  <w:num w:numId="33" w16cid:durableId="1056468202">
    <w:abstractNumId w:val="10"/>
  </w:num>
  <w:num w:numId="34" w16cid:durableId="1654673054">
    <w:abstractNumId w:val="18"/>
  </w:num>
  <w:num w:numId="35" w16cid:durableId="1599682094">
    <w:abstractNumId w:val="22"/>
  </w:num>
  <w:num w:numId="36" w16cid:durableId="95290229">
    <w:abstractNumId w:val="31"/>
  </w:num>
  <w:num w:numId="37" w16cid:durableId="553279535">
    <w:abstractNumId w:val="21"/>
  </w:num>
  <w:num w:numId="38" w16cid:durableId="1863469205">
    <w:abstractNumId w:val="17"/>
  </w:num>
  <w:num w:numId="39" w16cid:durableId="20925770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4F"/>
    <w:rsid w:val="0000032F"/>
    <w:rsid w:val="000014F2"/>
    <w:rsid w:val="000024CD"/>
    <w:rsid w:val="000047C3"/>
    <w:rsid w:val="00004BE4"/>
    <w:rsid w:val="00005F93"/>
    <w:rsid w:val="00006285"/>
    <w:rsid w:val="00006C76"/>
    <w:rsid w:val="000100D8"/>
    <w:rsid w:val="00010234"/>
    <w:rsid w:val="00011410"/>
    <w:rsid w:val="00011D63"/>
    <w:rsid w:val="00011FEB"/>
    <w:rsid w:val="00012CB7"/>
    <w:rsid w:val="00013708"/>
    <w:rsid w:val="00013EE1"/>
    <w:rsid w:val="0001418D"/>
    <w:rsid w:val="00014712"/>
    <w:rsid w:val="00016B61"/>
    <w:rsid w:val="00016C2D"/>
    <w:rsid w:val="000174BB"/>
    <w:rsid w:val="00020B2E"/>
    <w:rsid w:val="00021F8D"/>
    <w:rsid w:val="000241C4"/>
    <w:rsid w:val="0002465E"/>
    <w:rsid w:val="00024959"/>
    <w:rsid w:val="00024EE9"/>
    <w:rsid w:val="00025CCA"/>
    <w:rsid w:val="00025D1D"/>
    <w:rsid w:val="00025F08"/>
    <w:rsid w:val="00027A7C"/>
    <w:rsid w:val="00030E3D"/>
    <w:rsid w:val="00031124"/>
    <w:rsid w:val="000329B8"/>
    <w:rsid w:val="00032AFD"/>
    <w:rsid w:val="00035475"/>
    <w:rsid w:val="0003551C"/>
    <w:rsid w:val="00035827"/>
    <w:rsid w:val="00036646"/>
    <w:rsid w:val="00040512"/>
    <w:rsid w:val="00041FB0"/>
    <w:rsid w:val="00045306"/>
    <w:rsid w:val="00045449"/>
    <w:rsid w:val="00045625"/>
    <w:rsid w:val="00045977"/>
    <w:rsid w:val="00046102"/>
    <w:rsid w:val="00046B70"/>
    <w:rsid w:val="0004705C"/>
    <w:rsid w:val="00047DFC"/>
    <w:rsid w:val="00050717"/>
    <w:rsid w:val="0005071C"/>
    <w:rsid w:val="00050758"/>
    <w:rsid w:val="000513B7"/>
    <w:rsid w:val="00052031"/>
    <w:rsid w:val="00052286"/>
    <w:rsid w:val="00052365"/>
    <w:rsid w:val="0005259B"/>
    <w:rsid w:val="00052A3C"/>
    <w:rsid w:val="00052CD9"/>
    <w:rsid w:val="00052D6B"/>
    <w:rsid w:val="00053550"/>
    <w:rsid w:val="000549F8"/>
    <w:rsid w:val="00055338"/>
    <w:rsid w:val="000554D6"/>
    <w:rsid w:val="00057D7F"/>
    <w:rsid w:val="00060005"/>
    <w:rsid w:val="000601AD"/>
    <w:rsid w:val="000603AF"/>
    <w:rsid w:val="00060821"/>
    <w:rsid w:val="00061D75"/>
    <w:rsid w:val="000630F1"/>
    <w:rsid w:val="00063243"/>
    <w:rsid w:val="00064789"/>
    <w:rsid w:val="0006672B"/>
    <w:rsid w:val="00067CA3"/>
    <w:rsid w:val="00070467"/>
    <w:rsid w:val="000705A2"/>
    <w:rsid w:val="00072E64"/>
    <w:rsid w:val="00073255"/>
    <w:rsid w:val="000741A7"/>
    <w:rsid w:val="00074521"/>
    <w:rsid w:val="0007562C"/>
    <w:rsid w:val="00075E8C"/>
    <w:rsid w:val="00076BF9"/>
    <w:rsid w:val="00076FE9"/>
    <w:rsid w:val="000775A9"/>
    <w:rsid w:val="000776DA"/>
    <w:rsid w:val="0008163A"/>
    <w:rsid w:val="00083498"/>
    <w:rsid w:val="00084012"/>
    <w:rsid w:val="00084CD5"/>
    <w:rsid w:val="00086F41"/>
    <w:rsid w:val="00087886"/>
    <w:rsid w:val="00090569"/>
    <w:rsid w:val="000907D4"/>
    <w:rsid w:val="000917E9"/>
    <w:rsid w:val="00092591"/>
    <w:rsid w:val="00093819"/>
    <w:rsid w:val="0009590D"/>
    <w:rsid w:val="000963C6"/>
    <w:rsid w:val="00096C67"/>
    <w:rsid w:val="000A059F"/>
    <w:rsid w:val="000A09A6"/>
    <w:rsid w:val="000A1726"/>
    <w:rsid w:val="000A1830"/>
    <w:rsid w:val="000A1C85"/>
    <w:rsid w:val="000A4636"/>
    <w:rsid w:val="000A559D"/>
    <w:rsid w:val="000A6224"/>
    <w:rsid w:val="000A6244"/>
    <w:rsid w:val="000A63E1"/>
    <w:rsid w:val="000A67A7"/>
    <w:rsid w:val="000A7F21"/>
    <w:rsid w:val="000B0381"/>
    <w:rsid w:val="000B093B"/>
    <w:rsid w:val="000B1884"/>
    <w:rsid w:val="000B1E6E"/>
    <w:rsid w:val="000B1E7A"/>
    <w:rsid w:val="000B2E65"/>
    <w:rsid w:val="000B2EB8"/>
    <w:rsid w:val="000B34FA"/>
    <w:rsid w:val="000B3839"/>
    <w:rsid w:val="000B48E6"/>
    <w:rsid w:val="000B4D01"/>
    <w:rsid w:val="000B4F4D"/>
    <w:rsid w:val="000B7001"/>
    <w:rsid w:val="000B70BF"/>
    <w:rsid w:val="000B768E"/>
    <w:rsid w:val="000C084D"/>
    <w:rsid w:val="000C1F44"/>
    <w:rsid w:val="000C2404"/>
    <w:rsid w:val="000C256B"/>
    <w:rsid w:val="000C2770"/>
    <w:rsid w:val="000C36A7"/>
    <w:rsid w:val="000C36CA"/>
    <w:rsid w:val="000C3A0B"/>
    <w:rsid w:val="000C4A44"/>
    <w:rsid w:val="000C5224"/>
    <w:rsid w:val="000C5561"/>
    <w:rsid w:val="000C5B7C"/>
    <w:rsid w:val="000C5FC7"/>
    <w:rsid w:val="000C737F"/>
    <w:rsid w:val="000C78D1"/>
    <w:rsid w:val="000D00C0"/>
    <w:rsid w:val="000D0416"/>
    <w:rsid w:val="000D0C9F"/>
    <w:rsid w:val="000D0E25"/>
    <w:rsid w:val="000D1264"/>
    <w:rsid w:val="000D1AAD"/>
    <w:rsid w:val="000D2E2A"/>
    <w:rsid w:val="000D430C"/>
    <w:rsid w:val="000D469D"/>
    <w:rsid w:val="000D547B"/>
    <w:rsid w:val="000D5CD1"/>
    <w:rsid w:val="000D66D2"/>
    <w:rsid w:val="000D6FF0"/>
    <w:rsid w:val="000D7E6E"/>
    <w:rsid w:val="000E0168"/>
    <w:rsid w:val="000E0BFD"/>
    <w:rsid w:val="000E2515"/>
    <w:rsid w:val="000E257D"/>
    <w:rsid w:val="000E398D"/>
    <w:rsid w:val="000E3A23"/>
    <w:rsid w:val="000E4E82"/>
    <w:rsid w:val="000E5492"/>
    <w:rsid w:val="000E5A64"/>
    <w:rsid w:val="000E5D4C"/>
    <w:rsid w:val="000E6227"/>
    <w:rsid w:val="000F25AC"/>
    <w:rsid w:val="000F2716"/>
    <w:rsid w:val="000F2A8B"/>
    <w:rsid w:val="000F2EA1"/>
    <w:rsid w:val="000F45A7"/>
    <w:rsid w:val="000F4BAF"/>
    <w:rsid w:val="000F4CFD"/>
    <w:rsid w:val="000F5749"/>
    <w:rsid w:val="000F599A"/>
    <w:rsid w:val="000F61D8"/>
    <w:rsid w:val="000F7AB3"/>
    <w:rsid w:val="00101C01"/>
    <w:rsid w:val="001046ED"/>
    <w:rsid w:val="001047D9"/>
    <w:rsid w:val="00106D47"/>
    <w:rsid w:val="0010726A"/>
    <w:rsid w:val="0010755D"/>
    <w:rsid w:val="00107FC0"/>
    <w:rsid w:val="00112205"/>
    <w:rsid w:val="00113E6A"/>
    <w:rsid w:val="00114172"/>
    <w:rsid w:val="0011497E"/>
    <w:rsid w:val="001154FD"/>
    <w:rsid w:val="00115F29"/>
    <w:rsid w:val="0011646D"/>
    <w:rsid w:val="00116FE9"/>
    <w:rsid w:val="00117419"/>
    <w:rsid w:val="0012117A"/>
    <w:rsid w:val="0012244B"/>
    <w:rsid w:val="00122D5B"/>
    <w:rsid w:val="00124514"/>
    <w:rsid w:val="001248AE"/>
    <w:rsid w:val="00124E5D"/>
    <w:rsid w:val="00125975"/>
    <w:rsid w:val="00126767"/>
    <w:rsid w:val="0012755C"/>
    <w:rsid w:val="00127819"/>
    <w:rsid w:val="001279FD"/>
    <w:rsid w:val="0013038F"/>
    <w:rsid w:val="00130571"/>
    <w:rsid w:val="001307AF"/>
    <w:rsid w:val="001308B1"/>
    <w:rsid w:val="00131B65"/>
    <w:rsid w:val="0013200C"/>
    <w:rsid w:val="001327E6"/>
    <w:rsid w:val="0013326D"/>
    <w:rsid w:val="00133C07"/>
    <w:rsid w:val="001358AD"/>
    <w:rsid w:val="00135FAE"/>
    <w:rsid w:val="00136C8F"/>
    <w:rsid w:val="001373E5"/>
    <w:rsid w:val="001379D8"/>
    <w:rsid w:val="001413E8"/>
    <w:rsid w:val="00141CF6"/>
    <w:rsid w:val="00141D9B"/>
    <w:rsid w:val="00141FC1"/>
    <w:rsid w:val="0014233B"/>
    <w:rsid w:val="00144B86"/>
    <w:rsid w:val="00145B5D"/>
    <w:rsid w:val="00145C84"/>
    <w:rsid w:val="001463BB"/>
    <w:rsid w:val="001467CE"/>
    <w:rsid w:val="00147572"/>
    <w:rsid w:val="0014770A"/>
    <w:rsid w:val="001508C0"/>
    <w:rsid w:val="00151242"/>
    <w:rsid w:val="00151881"/>
    <w:rsid w:val="001523FD"/>
    <w:rsid w:val="00152527"/>
    <w:rsid w:val="001525FB"/>
    <w:rsid w:val="00152D0C"/>
    <w:rsid w:val="00153084"/>
    <w:rsid w:val="00153EFE"/>
    <w:rsid w:val="00154AF8"/>
    <w:rsid w:val="00154B4A"/>
    <w:rsid w:val="00155308"/>
    <w:rsid w:val="00156532"/>
    <w:rsid w:val="001569EE"/>
    <w:rsid w:val="00156D6B"/>
    <w:rsid w:val="00157508"/>
    <w:rsid w:val="00160113"/>
    <w:rsid w:val="001608A5"/>
    <w:rsid w:val="00160D1D"/>
    <w:rsid w:val="00160E95"/>
    <w:rsid w:val="00161809"/>
    <w:rsid w:val="00161AF1"/>
    <w:rsid w:val="001621AE"/>
    <w:rsid w:val="00162393"/>
    <w:rsid w:val="001655AD"/>
    <w:rsid w:val="001662F9"/>
    <w:rsid w:val="001663CE"/>
    <w:rsid w:val="0016701F"/>
    <w:rsid w:val="0016712E"/>
    <w:rsid w:val="00167959"/>
    <w:rsid w:val="00167E88"/>
    <w:rsid w:val="00170CA5"/>
    <w:rsid w:val="0017137B"/>
    <w:rsid w:val="00172234"/>
    <w:rsid w:val="00172718"/>
    <w:rsid w:val="001743D7"/>
    <w:rsid w:val="00174BE3"/>
    <w:rsid w:val="00175E46"/>
    <w:rsid w:val="00176102"/>
    <w:rsid w:val="001773F1"/>
    <w:rsid w:val="00177421"/>
    <w:rsid w:val="0018021F"/>
    <w:rsid w:val="00181A3D"/>
    <w:rsid w:val="00183531"/>
    <w:rsid w:val="0018397C"/>
    <w:rsid w:val="001857A0"/>
    <w:rsid w:val="00185C91"/>
    <w:rsid w:val="00185E58"/>
    <w:rsid w:val="00186407"/>
    <w:rsid w:val="0018659E"/>
    <w:rsid w:val="001870F1"/>
    <w:rsid w:val="0019071E"/>
    <w:rsid w:val="00191122"/>
    <w:rsid w:val="00191205"/>
    <w:rsid w:val="0019143A"/>
    <w:rsid w:val="00191BD0"/>
    <w:rsid w:val="00192A5B"/>
    <w:rsid w:val="0019377D"/>
    <w:rsid w:val="00193BE2"/>
    <w:rsid w:val="0019417C"/>
    <w:rsid w:val="001944AC"/>
    <w:rsid w:val="00195454"/>
    <w:rsid w:val="001960F0"/>
    <w:rsid w:val="00196952"/>
    <w:rsid w:val="00197151"/>
    <w:rsid w:val="001A12AB"/>
    <w:rsid w:val="001A1A9D"/>
    <w:rsid w:val="001A2458"/>
    <w:rsid w:val="001A288E"/>
    <w:rsid w:val="001A2F2F"/>
    <w:rsid w:val="001A329E"/>
    <w:rsid w:val="001A32CD"/>
    <w:rsid w:val="001A4F12"/>
    <w:rsid w:val="001A5ABF"/>
    <w:rsid w:val="001A682B"/>
    <w:rsid w:val="001A6DAA"/>
    <w:rsid w:val="001B0A53"/>
    <w:rsid w:val="001B18DE"/>
    <w:rsid w:val="001B1A19"/>
    <w:rsid w:val="001B1F15"/>
    <w:rsid w:val="001B5709"/>
    <w:rsid w:val="001B697B"/>
    <w:rsid w:val="001B69F2"/>
    <w:rsid w:val="001B6AD6"/>
    <w:rsid w:val="001B6F6C"/>
    <w:rsid w:val="001B7444"/>
    <w:rsid w:val="001B7B4A"/>
    <w:rsid w:val="001C1882"/>
    <w:rsid w:val="001C257D"/>
    <w:rsid w:val="001C2FD4"/>
    <w:rsid w:val="001C37A5"/>
    <w:rsid w:val="001C4C9A"/>
    <w:rsid w:val="001D0338"/>
    <w:rsid w:val="001D1470"/>
    <w:rsid w:val="001D24F6"/>
    <w:rsid w:val="001D316E"/>
    <w:rsid w:val="001D3F41"/>
    <w:rsid w:val="001D46A8"/>
    <w:rsid w:val="001D4D73"/>
    <w:rsid w:val="001D525D"/>
    <w:rsid w:val="001D5B28"/>
    <w:rsid w:val="001D5CA4"/>
    <w:rsid w:val="001D7518"/>
    <w:rsid w:val="001D7621"/>
    <w:rsid w:val="001E2BDA"/>
    <w:rsid w:val="001E35CA"/>
    <w:rsid w:val="001E370F"/>
    <w:rsid w:val="001E4466"/>
    <w:rsid w:val="001E4774"/>
    <w:rsid w:val="001E5C7B"/>
    <w:rsid w:val="001E5DA1"/>
    <w:rsid w:val="001E60E4"/>
    <w:rsid w:val="001E7140"/>
    <w:rsid w:val="001E7990"/>
    <w:rsid w:val="001F07AB"/>
    <w:rsid w:val="001F09E6"/>
    <w:rsid w:val="001F0AF3"/>
    <w:rsid w:val="001F1A86"/>
    <w:rsid w:val="001F3016"/>
    <w:rsid w:val="001F312C"/>
    <w:rsid w:val="001F4E97"/>
    <w:rsid w:val="001F5006"/>
    <w:rsid w:val="001F52BF"/>
    <w:rsid w:val="001F63D8"/>
    <w:rsid w:val="001F7061"/>
    <w:rsid w:val="001F7160"/>
    <w:rsid w:val="001F768F"/>
    <w:rsid w:val="001F7940"/>
    <w:rsid w:val="00201A8C"/>
    <w:rsid w:val="0020232A"/>
    <w:rsid w:val="002027DC"/>
    <w:rsid w:val="002034F1"/>
    <w:rsid w:val="00204473"/>
    <w:rsid w:val="002055FC"/>
    <w:rsid w:val="00206A35"/>
    <w:rsid w:val="00212725"/>
    <w:rsid w:val="00212F0E"/>
    <w:rsid w:val="002136A9"/>
    <w:rsid w:val="00213EB0"/>
    <w:rsid w:val="00214582"/>
    <w:rsid w:val="00214D43"/>
    <w:rsid w:val="00214DBE"/>
    <w:rsid w:val="00215665"/>
    <w:rsid w:val="00216384"/>
    <w:rsid w:val="0021777F"/>
    <w:rsid w:val="002205A1"/>
    <w:rsid w:val="0022235B"/>
    <w:rsid w:val="00222443"/>
    <w:rsid w:val="002232A0"/>
    <w:rsid w:val="00223582"/>
    <w:rsid w:val="0022394A"/>
    <w:rsid w:val="00223EF7"/>
    <w:rsid w:val="0022433B"/>
    <w:rsid w:val="002266BC"/>
    <w:rsid w:val="002266FB"/>
    <w:rsid w:val="00226B9C"/>
    <w:rsid w:val="00226BEF"/>
    <w:rsid w:val="002275CE"/>
    <w:rsid w:val="00231A9E"/>
    <w:rsid w:val="002322F7"/>
    <w:rsid w:val="00232FF2"/>
    <w:rsid w:val="0023450A"/>
    <w:rsid w:val="0023599F"/>
    <w:rsid w:val="00236957"/>
    <w:rsid w:val="00236BC8"/>
    <w:rsid w:val="00237159"/>
    <w:rsid w:val="00237167"/>
    <w:rsid w:val="002372A8"/>
    <w:rsid w:val="0024011A"/>
    <w:rsid w:val="002401EF"/>
    <w:rsid w:val="00240B22"/>
    <w:rsid w:val="00240DCA"/>
    <w:rsid w:val="0024173A"/>
    <w:rsid w:val="00241826"/>
    <w:rsid w:val="00243147"/>
    <w:rsid w:val="002433DB"/>
    <w:rsid w:val="00243438"/>
    <w:rsid w:val="002437F2"/>
    <w:rsid w:val="0024421F"/>
    <w:rsid w:val="00247C8B"/>
    <w:rsid w:val="0025070F"/>
    <w:rsid w:val="00250D14"/>
    <w:rsid w:val="00251261"/>
    <w:rsid w:val="00251C9E"/>
    <w:rsid w:val="002523B9"/>
    <w:rsid w:val="002543E4"/>
    <w:rsid w:val="0025449A"/>
    <w:rsid w:val="002579BD"/>
    <w:rsid w:val="00260258"/>
    <w:rsid w:val="00261AD3"/>
    <w:rsid w:val="00261D1C"/>
    <w:rsid w:val="002623E5"/>
    <w:rsid w:val="00263093"/>
    <w:rsid w:val="002632C0"/>
    <w:rsid w:val="002638D2"/>
    <w:rsid w:val="00264026"/>
    <w:rsid w:val="00264CA2"/>
    <w:rsid w:val="002675DE"/>
    <w:rsid w:val="00270526"/>
    <w:rsid w:val="002718E0"/>
    <w:rsid w:val="00272057"/>
    <w:rsid w:val="002720CF"/>
    <w:rsid w:val="002737BB"/>
    <w:rsid w:val="002740AB"/>
    <w:rsid w:val="002743CE"/>
    <w:rsid w:val="00274668"/>
    <w:rsid w:val="002748F4"/>
    <w:rsid w:val="00275349"/>
    <w:rsid w:val="00275A0B"/>
    <w:rsid w:val="00277766"/>
    <w:rsid w:val="00281857"/>
    <w:rsid w:val="002836AD"/>
    <w:rsid w:val="00284388"/>
    <w:rsid w:val="002846CE"/>
    <w:rsid w:val="00284A78"/>
    <w:rsid w:val="002860A9"/>
    <w:rsid w:val="00286625"/>
    <w:rsid w:val="002866CD"/>
    <w:rsid w:val="00290042"/>
    <w:rsid w:val="002917BA"/>
    <w:rsid w:val="00291C20"/>
    <w:rsid w:val="002932B9"/>
    <w:rsid w:val="00293929"/>
    <w:rsid w:val="002939C0"/>
    <w:rsid w:val="002955F3"/>
    <w:rsid w:val="002968BF"/>
    <w:rsid w:val="0029768C"/>
    <w:rsid w:val="002A0323"/>
    <w:rsid w:val="002A03B4"/>
    <w:rsid w:val="002A05C2"/>
    <w:rsid w:val="002A1977"/>
    <w:rsid w:val="002A2DFF"/>
    <w:rsid w:val="002A34CF"/>
    <w:rsid w:val="002A3BAB"/>
    <w:rsid w:val="002A796B"/>
    <w:rsid w:val="002A7CDA"/>
    <w:rsid w:val="002B13CC"/>
    <w:rsid w:val="002B1655"/>
    <w:rsid w:val="002B20FA"/>
    <w:rsid w:val="002B24CE"/>
    <w:rsid w:val="002B2875"/>
    <w:rsid w:val="002B2AE3"/>
    <w:rsid w:val="002B35F1"/>
    <w:rsid w:val="002B3DEE"/>
    <w:rsid w:val="002B474C"/>
    <w:rsid w:val="002B4961"/>
    <w:rsid w:val="002B4B02"/>
    <w:rsid w:val="002B4C96"/>
    <w:rsid w:val="002B5391"/>
    <w:rsid w:val="002B56EA"/>
    <w:rsid w:val="002B5DA4"/>
    <w:rsid w:val="002B6232"/>
    <w:rsid w:val="002B6DA3"/>
    <w:rsid w:val="002B6E31"/>
    <w:rsid w:val="002B7595"/>
    <w:rsid w:val="002C16BA"/>
    <w:rsid w:val="002C2E71"/>
    <w:rsid w:val="002C307C"/>
    <w:rsid w:val="002C324E"/>
    <w:rsid w:val="002C4DAC"/>
    <w:rsid w:val="002C5210"/>
    <w:rsid w:val="002C53DC"/>
    <w:rsid w:val="002C62E5"/>
    <w:rsid w:val="002C65B1"/>
    <w:rsid w:val="002C6DD9"/>
    <w:rsid w:val="002C7D66"/>
    <w:rsid w:val="002C7E2D"/>
    <w:rsid w:val="002D0C0D"/>
    <w:rsid w:val="002D0D10"/>
    <w:rsid w:val="002D190B"/>
    <w:rsid w:val="002D21D2"/>
    <w:rsid w:val="002D2201"/>
    <w:rsid w:val="002D2763"/>
    <w:rsid w:val="002D2C3B"/>
    <w:rsid w:val="002D2EBB"/>
    <w:rsid w:val="002D3C3C"/>
    <w:rsid w:val="002D483A"/>
    <w:rsid w:val="002D5113"/>
    <w:rsid w:val="002D5266"/>
    <w:rsid w:val="002D79EA"/>
    <w:rsid w:val="002E05CA"/>
    <w:rsid w:val="002E0AAF"/>
    <w:rsid w:val="002E0B2D"/>
    <w:rsid w:val="002E1149"/>
    <w:rsid w:val="002E2154"/>
    <w:rsid w:val="002E30D0"/>
    <w:rsid w:val="002E340F"/>
    <w:rsid w:val="002E3473"/>
    <w:rsid w:val="002E3CC7"/>
    <w:rsid w:val="002E3E13"/>
    <w:rsid w:val="002E4950"/>
    <w:rsid w:val="002E4B03"/>
    <w:rsid w:val="002E4D7B"/>
    <w:rsid w:val="002E5F96"/>
    <w:rsid w:val="002F1236"/>
    <w:rsid w:val="002F1B29"/>
    <w:rsid w:val="002F20F3"/>
    <w:rsid w:val="002F2372"/>
    <w:rsid w:val="002F500A"/>
    <w:rsid w:val="002F50D6"/>
    <w:rsid w:val="002F6D3E"/>
    <w:rsid w:val="002F6F1B"/>
    <w:rsid w:val="002F71E9"/>
    <w:rsid w:val="003006F1"/>
    <w:rsid w:val="00301466"/>
    <w:rsid w:val="003014CD"/>
    <w:rsid w:val="00301732"/>
    <w:rsid w:val="003019BD"/>
    <w:rsid w:val="00301A9B"/>
    <w:rsid w:val="003036A9"/>
    <w:rsid w:val="003038F0"/>
    <w:rsid w:val="00303F9A"/>
    <w:rsid w:val="00305200"/>
    <w:rsid w:val="00305272"/>
    <w:rsid w:val="00305A1F"/>
    <w:rsid w:val="00306A17"/>
    <w:rsid w:val="0031007D"/>
    <w:rsid w:val="003100C0"/>
    <w:rsid w:val="0031024B"/>
    <w:rsid w:val="0031039D"/>
    <w:rsid w:val="003109AD"/>
    <w:rsid w:val="00311BB3"/>
    <w:rsid w:val="00311CB5"/>
    <w:rsid w:val="003122AB"/>
    <w:rsid w:val="00312C45"/>
    <w:rsid w:val="003130B3"/>
    <w:rsid w:val="003133A2"/>
    <w:rsid w:val="00313763"/>
    <w:rsid w:val="003144E2"/>
    <w:rsid w:val="00316EE2"/>
    <w:rsid w:val="00317131"/>
    <w:rsid w:val="003171D2"/>
    <w:rsid w:val="00317691"/>
    <w:rsid w:val="00320900"/>
    <w:rsid w:val="00320BB7"/>
    <w:rsid w:val="00321164"/>
    <w:rsid w:val="0032198C"/>
    <w:rsid w:val="00322ABA"/>
    <w:rsid w:val="003257B7"/>
    <w:rsid w:val="00325AE5"/>
    <w:rsid w:val="00325B94"/>
    <w:rsid w:val="003260C7"/>
    <w:rsid w:val="003266C5"/>
    <w:rsid w:val="00326EB0"/>
    <w:rsid w:val="00327ED0"/>
    <w:rsid w:val="003304A9"/>
    <w:rsid w:val="00332185"/>
    <w:rsid w:val="00332434"/>
    <w:rsid w:val="003334A7"/>
    <w:rsid w:val="00334732"/>
    <w:rsid w:val="003354E7"/>
    <w:rsid w:val="0033721A"/>
    <w:rsid w:val="0034051D"/>
    <w:rsid w:val="003409AC"/>
    <w:rsid w:val="003410CA"/>
    <w:rsid w:val="0034174F"/>
    <w:rsid w:val="0034195D"/>
    <w:rsid w:val="00344384"/>
    <w:rsid w:val="00346DE5"/>
    <w:rsid w:val="00347B8E"/>
    <w:rsid w:val="003532A5"/>
    <w:rsid w:val="0035348B"/>
    <w:rsid w:val="00353BFB"/>
    <w:rsid w:val="003543F4"/>
    <w:rsid w:val="00354858"/>
    <w:rsid w:val="00355879"/>
    <w:rsid w:val="00355C15"/>
    <w:rsid w:val="00361465"/>
    <w:rsid w:val="00361603"/>
    <w:rsid w:val="0036174C"/>
    <w:rsid w:val="00362AAF"/>
    <w:rsid w:val="00363C7B"/>
    <w:rsid w:val="0036491E"/>
    <w:rsid w:val="00364BB3"/>
    <w:rsid w:val="003651A6"/>
    <w:rsid w:val="00365740"/>
    <w:rsid w:val="00365780"/>
    <w:rsid w:val="00365902"/>
    <w:rsid w:val="00366504"/>
    <w:rsid w:val="00366831"/>
    <w:rsid w:val="00367A9F"/>
    <w:rsid w:val="00367FC0"/>
    <w:rsid w:val="00370FCD"/>
    <w:rsid w:val="00371068"/>
    <w:rsid w:val="0037114F"/>
    <w:rsid w:val="00371D94"/>
    <w:rsid w:val="003727FE"/>
    <w:rsid w:val="00373859"/>
    <w:rsid w:val="003754D6"/>
    <w:rsid w:val="003756A1"/>
    <w:rsid w:val="00375E6B"/>
    <w:rsid w:val="00376499"/>
    <w:rsid w:val="00376A18"/>
    <w:rsid w:val="00377323"/>
    <w:rsid w:val="003815A5"/>
    <w:rsid w:val="003824A0"/>
    <w:rsid w:val="003829B4"/>
    <w:rsid w:val="00383929"/>
    <w:rsid w:val="00383999"/>
    <w:rsid w:val="00383E07"/>
    <w:rsid w:val="00384FA6"/>
    <w:rsid w:val="0038526A"/>
    <w:rsid w:val="00385294"/>
    <w:rsid w:val="00385ED0"/>
    <w:rsid w:val="00386B80"/>
    <w:rsid w:val="00387940"/>
    <w:rsid w:val="00387D9D"/>
    <w:rsid w:val="00390FF3"/>
    <w:rsid w:val="00392834"/>
    <w:rsid w:val="00392FD6"/>
    <w:rsid w:val="00393CC2"/>
    <w:rsid w:val="00393F7A"/>
    <w:rsid w:val="00394161"/>
    <w:rsid w:val="00394205"/>
    <w:rsid w:val="00395CBF"/>
    <w:rsid w:val="00395D2F"/>
    <w:rsid w:val="003A1EDD"/>
    <w:rsid w:val="003A26BC"/>
    <w:rsid w:val="003A2BEA"/>
    <w:rsid w:val="003A2C39"/>
    <w:rsid w:val="003A494D"/>
    <w:rsid w:val="003A4AC3"/>
    <w:rsid w:val="003A5504"/>
    <w:rsid w:val="003A59A7"/>
    <w:rsid w:val="003A5FFB"/>
    <w:rsid w:val="003A6EB0"/>
    <w:rsid w:val="003A74D1"/>
    <w:rsid w:val="003B0A27"/>
    <w:rsid w:val="003B0FA7"/>
    <w:rsid w:val="003B26E8"/>
    <w:rsid w:val="003B2CA2"/>
    <w:rsid w:val="003B2D6E"/>
    <w:rsid w:val="003B4798"/>
    <w:rsid w:val="003B47EB"/>
    <w:rsid w:val="003B4FF5"/>
    <w:rsid w:val="003B50F9"/>
    <w:rsid w:val="003B6893"/>
    <w:rsid w:val="003B6A5F"/>
    <w:rsid w:val="003C0830"/>
    <w:rsid w:val="003C0E88"/>
    <w:rsid w:val="003C2AD2"/>
    <w:rsid w:val="003C36E6"/>
    <w:rsid w:val="003C445A"/>
    <w:rsid w:val="003C7064"/>
    <w:rsid w:val="003C743C"/>
    <w:rsid w:val="003C74D3"/>
    <w:rsid w:val="003C7CC3"/>
    <w:rsid w:val="003C7DF3"/>
    <w:rsid w:val="003D053C"/>
    <w:rsid w:val="003D0BBE"/>
    <w:rsid w:val="003D1071"/>
    <w:rsid w:val="003D2D1F"/>
    <w:rsid w:val="003D35C7"/>
    <w:rsid w:val="003D4E5D"/>
    <w:rsid w:val="003D50ED"/>
    <w:rsid w:val="003D5CD8"/>
    <w:rsid w:val="003D7D50"/>
    <w:rsid w:val="003E0648"/>
    <w:rsid w:val="003E12A8"/>
    <w:rsid w:val="003E2BFE"/>
    <w:rsid w:val="003E64F9"/>
    <w:rsid w:val="003E7655"/>
    <w:rsid w:val="003E7AD0"/>
    <w:rsid w:val="003F0148"/>
    <w:rsid w:val="003F0D0D"/>
    <w:rsid w:val="003F1146"/>
    <w:rsid w:val="003F2098"/>
    <w:rsid w:val="003F2597"/>
    <w:rsid w:val="003F266E"/>
    <w:rsid w:val="003F2DE6"/>
    <w:rsid w:val="003F4C10"/>
    <w:rsid w:val="003F4C1F"/>
    <w:rsid w:val="003F59EF"/>
    <w:rsid w:val="003F6091"/>
    <w:rsid w:val="003F64B7"/>
    <w:rsid w:val="003F69CC"/>
    <w:rsid w:val="003F6B3F"/>
    <w:rsid w:val="00400A1E"/>
    <w:rsid w:val="00400B9C"/>
    <w:rsid w:val="00400BE4"/>
    <w:rsid w:val="00400D2D"/>
    <w:rsid w:val="00401382"/>
    <w:rsid w:val="00403125"/>
    <w:rsid w:val="00403DD0"/>
    <w:rsid w:val="00404089"/>
    <w:rsid w:val="0040574C"/>
    <w:rsid w:val="00405A19"/>
    <w:rsid w:val="00405E34"/>
    <w:rsid w:val="00405E68"/>
    <w:rsid w:val="004063FB"/>
    <w:rsid w:val="0040672F"/>
    <w:rsid w:val="00407443"/>
    <w:rsid w:val="00411631"/>
    <w:rsid w:val="00411AD9"/>
    <w:rsid w:val="00412010"/>
    <w:rsid w:val="004120CA"/>
    <w:rsid w:val="00412269"/>
    <w:rsid w:val="00412559"/>
    <w:rsid w:val="00412FC6"/>
    <w:rsid w:val="004132ED"/>
    <w:rsid w:val="00413584"/>
    <w:rsid w:val="00413921"/>
    <w:rsid w:val="00414D7D"/>
    <w:rsid w:val="00414EFF"/>
    <w:rsid w:val="00415C00"/>
    <w:rsid w:val="004166BA"/>
    <w:rsid w:val="00416899"/>
    <w:rsid w:val="00416F73"/>
    <w:rsid w:val="00417089"/>
    <w:rsid w:val="004175B0"/>
    <w:rsid w:val="00417AD2"/>
    <w:rsid w:val="004203FD"/>
    <w:rsid w:val="00420780"/>
    <w:rsid w:val="0042079B"/>
    <w:rsid w:val="00420C98"/>
    <w:rsid w:val="0042261F"/>
    <w:rsid w:val="00423A66"/>
    <w:rsid w:val="0042416A"/>
    <w:rsid w:val="004255BA"/>
    <w:rsid w:val="00425903"/>
    <w:rsid w:val="00426A41"/>
    <w:rsid w:val="00426A76"/>
    <w:rsid w:val="004272BA"/>
    <w:rsid w:val="004274DF"/>
    <w:rsid w:val="00427D49"/>
    <w:rsid w:val="00430A08"/>
    <w:rsid w:val="00430A8C"/>
    <w:rsid w:val="00430B62"/>
    <w:rsid w:val="00430DBE"/>
    <w:rsid w:val="0043212A"/>
    <w:rsid w:val="00433D8F"/>
    <w:rsid w:val="00434B9D"/>
    <w:rsid w:val="00435B16"/>
    <w:rsid w:val="00435DA3"/>
    <w:rsid w:val="0043658F"/>
    <w:rsid w:val="004408AA"/>
    <w:rsid w:val="00440C0B"/>
    <w:rsid w:val="00441E7C"/>
    <w:rsid w:val="00442B1E"/>
    <w:rsid w:val="004438BA"/>
    <w:rsid w:val="00443A88"/>
    <w:rsid w:val="00443E18"/>
    <w:rsid w:val="00444363"/>
    <w:rsid w:val="00445A75"/>
    <w:rsid w:val="004464E2"/>
    <w:rsid w:val="004468D3"/>
    <w:rsid w:val="00446F05"/>
    <w:rsid w:val="0044720C"/>
    <w:rsid w:val="0044769E"/>
    <w:rsid w:val="004479E4"/>
    <w:rsid w:val="00450671"/>
    <w:rsid w:val="004508AF"/>
    <w:rsid w:val="004514F2"/>
    <w:rsid w:val="00451B30"/>
    <w:rsid w:val="00451E02"/>
    <w:rsid w:val="0045472E"/>
    <w:rsid w:val="004555AD"/>
    <w:rsid w:val="00456498"/>
    <w:rsid w:val="004564DB"/>
    <w:rsid w:val="00456A87"/>
    <w:rsid w:val="00456AE6"/>
    <w:rsid w:val="00456C88"/>
    <w:rsid w:val="00457851"/>
    <w:rsid w:val="004605D7"/>
    <w:rsid w:val="00461CD1"/>
    <w:rsid w:val="0046222F"/>
    <w:rsid w:val="00462256"/>
    <w:rsid w:val="00462D4A"/>
    <w:rsid w:val="00463081"/>
    <w:rsid w:val="0046315C"/>
    <w:rsid w:val="00463192"/>
    <w:rsid w:val="00463F8B"/>
    <w:rsid w:val="004657A5"/>
    <w:rsid w:val="00467C69"/>
    <w:rsid w:val="00467FEC"/>
    <w:rsid w:val="00470670"/>
    <w:rsid w:val="004707C0"/>
    <w:rsid w:val="004707DA"/>
    <w:rsid w:val="0047294F"/>
    <w:rsid w:val="0047374A"/>
    <w:rsid w:val="00473EB6"/>
    <w:rsid w:val="00473F05"/>
    <w:rsid w:val="004752BA"/>
    <w:rsid w:val="00476AA2"/>
    <w:rsid w:val="00476F19"/>
    <w:rsid w:val="00477212"/>
    <w:rsid w:val="00480725"/>
    <w:rsid w:val="00480FA5"/>
    <w:rsid w:val="00481026"/>
    <w:rsid w:val="00481D07"/>
    <w:rsid w:val="0048204C"/>
    <w:rsid w:val="004823EA"/>
    <w:rsid w:val="00484238"/>
    <w:rsid w:val="00485633"/>
    <w:rsid w:val="00485696"/>
    <w:rsid w:val="004857E2"/>
    <w:rsid w:val="00486431"/>
    <w:rsid w:val="00486BD3"/>
    <w:rsid w:val="00487136"/>
    <w:rsid w:val="0048717E"/>
    <w:rsid w:val="00490ED1"/>
    <w:rsid w:val="0049156F"/>
    <w:rsid w:val="00491E46"/>
    <w:rsid w:val="00492053"/>
    <w:rsid w:val="004921BF"/>
    <w:rsid w:val="00492CC6"/>
    <w:rsid w:val="00494A79"/>
    <w:rsid w:val="004957D5"/>
    <w:rsid w:val="00496161"/>
    <w:rsid w:val="00496486"/>
    <w:rsid w:val="0049688D"/>
    <w:rsid w:val="00496C98"/>
    <w:rsid w:val="0049765F"/>
    <w:rsid w:val="004A0180"/>
    <w:rsid w:val="004A0A85"/>
    <w:rsid w:val="004A1F63"/>
    <w:rsid w:val="004A23BF"/>
    <w:rsid w:val="004A3139"/>
    <w:rsid w:val="004A3C29"/>
    <w:rsid w:val="004A3F05"/>
    <w:rsid w:val="004A3F09"/>
    <w:rsid w:val="004A51F1"/>
    <w:rsid w:val="004A734C"/>
    <w:rsid w:val="004A78B2"/>
    <w:rsid w:val="004B0166"/>
    <w:rsid w:val="004B03C5"/>
    <w:rsid w:val="004B05E3"/>
    <w:rsid w:val="004B0D04"/>
    <w:rsid w:val="004B196F"/>
    <w:rsid w:val="004B2D38"/>
    <w:rsid w:val="004B4447"/>
    <w:rsid w:val="004B4469"/>
    <w:rsid w:val="004B54F0"/>
    <w:rsid w:val="004B5E68"/>
    <w:rsid w:val="004B79BC"/>
    <w:rsid w:val="004C0E03"/>
    <w:rsid w:val="004C101E"/>
    <w:rsid w:val="004C13B0"/>
    <w:rsid w:val="004C16D9"/>
    <w:rsid w:val="004C221E"/>
    <w:rsid w:val="004C25AF"/>
    <w:rsid w:val="004C3450"/>
    <w:rsid w:val="004C387D"/>
    <w:rsid w:val="004C459D"/>
    <w:rsid w:val="004C482F"/>
    <w:rsid w:val="004C62CD"/>
    <w:rsid w:val="004C71F5"/>
    <w:rsid w:val="004D00AB"/>
    <w:rsid w:val="004D0C62"/>
    <w:rsid w:val="004D22D5"/>
    <w:rsid w:val="004D26BC"/>
    <w:rsid w:val="004D340A"/>
    <w:rsid w:val="004D35C8"/>
    <w:rsid w:val="004D37D9"/>
    <w:rsid w:val="004D386B"/>
    <w:rsid w:val="004D395D"/>
    <w:rsid w:val="004D41D4"/>
    <w:rsid w:val="004D58B2"/>
    <w:rsid w:val="004D7376"/>
    <w:rsid w:val="004D78F7"/>
    <w:rsid w:val="004D7C8A"/>
    <w:rsid w:val="004E0539"/>
    <w:rsid w:val="004E072E"/>
    <w:rsid w:val="004E2056"/>
    <w:rsid w:val="004E2127"/>
    <w:rsid w:val="004E2D16"/>
    <w:rsid w:val="004E565F"/>
    <w:rsid w:val="004E6DA1"/>
    <w:rsid w:val="004E70E7"/>
    <w:rsid w:val="004E7DD6"/>
    <w:rsid w:val="004F0709"/>
    <w:rsid w:val="004F0E2B"/>
    <w:rsid w:val="004F1E15"/>
    <w:rsid w:val="004F297A"/>
    <w:rsid w:val="004F2BB0"/>
    <w:rsid w:val="004F2BD8"/>
    <w:rsid w:val="004F3CFF"/>
    <w:rsid w:val="004F411B"/>
    <w:rsid w:val="004F460E"/>
    <w:rsid w:val="004F55C7"/>
    <w:rsid w:val="004F6BC1"/>
    <w:rsid w:val="004F6D2B"/>
    <w:rsid w:val="004F6D8D"/>
    <w:rsid w:val="004F7912"/>
    <w:rsid w:val="004F79DE"/>
    <w:rsid w:val="004F7D27"/>
    <w:rsid w:val="005021C7"/>
    <w:rsid w:val="005022FD"/>
    <w:rsid w:val="00502D40"/>
    <w:rsid w:val="005056DB"/>
    <w:rsid w:val="005068A0"/>
    <w:rsid w:val="00506AAD"/>
    <w:rsid w:val="00507EC7"/>
    <w:rsid w:val="00510408"/>
    <w:rsid w:val="00510B56"/>
    <w:rsid w:val="00512DA0"/>
    <w:rsid w:val="005131C5"/>
    <w:rsid w:val="0051347F"/>
    <w:rsid w:val="005145A0"/>
    <w:rsid w:val="00514ECF"/>
    <w:rsid w:val="00514F39"/>
    <w:rsid w:val="00516791"/>
    <w:rsid w:val="00516FA6"/>
    <w:rsid w:val="00520B73"/>
    <w:rsid w:val="00521248"/>
    <w:rsid w:val="00521B37"/>
    <w:rsid w:val="00522499"/>
    <w:rsid w:val="005234D0"/>
    <w:rsid w:val="0052403E"/>
    <w:rsid w:val="005240F7"/>
    <w:rsid w:val="0052459B"/>
    <w:rsid w:val="0052529D"/>
    <w:rsid w:val="0052605F"/>
    <w:rsid w:val="005272EC"/>
    <w:rsid w:val="005302D6"/>
    <w:rsid w:val="005305C7"/>
    <w:rsid w:val="005306B4"/>
    <w:rsid w:val="005309F0"/>
    <w:rsid w:val="005324BD"/>
    <w:rsid w:val="005332F5"/>
    <w:rsid w:val="00533447"/>
    <w:rsid w:val="00537176"/>
    <w:rsid w:val="00537B16"/>
    <w:rsid w:val="00541445"/>
    <w:rsid w:val="00541B88"/>
    <w:rsid w:val="0054283A"/>
    <w:rsid w:val="00544F7D"/>
    <w:rsid w:val="00544FD0"/>
    <w:rsid w:val="005455AE"/>
    <w:rsid w:val="005476D6"/>
    <w:rsid w:val="005506A4"/>
    <w:rsid w:val="005518C7"/>
    <w:rsid w:val="005532E3"/>
    <w:rsid w:val="005542E8"/>
    <w:rsid w:val="00555255"/>
    <w:rsid w:val="00555873"/>
    <w:rsid w:val="00555DDE"/>
    <w:rsid w:val="00556883"/>
    <w:rsid w:val="00560407"/>
    <w:rsid w:val="00560E7F"/>
    <w:rsid w:val="00561095"/>
    <w:rsid w:val="0056155D"/>
    <w:rsid w:val="0056301B"/>
    <w:rsid w:val="00564045"/>
    <w:rsid w:val="00565BD0"/>
    <w:rsid w:val="00566465"/>
    <w:rsid w:val="00567266"/>
    <w:rsid w:val="0056730B"/>
    <w:rsid w:val="0056774E"/>
    <w:rsid w:val="00570A3C"/>
    <w:rsid w:val="00571152"/>
    <w:rsid w:val="00572A13"/>
    <w:rsid w:val="00572F9C"/>
    <w:rsid w:val="00572FD9"/>
    <w:rsid w:val="00574A1C"/>
    <w:rsid w:val="0057501B"/>
    <w:rsid w:val="005805A1"/>
    <w:rsid w:val="0058093E"/>
    <w:rsid w:val="00581778"/>
    <w:rsid w:val="005819B1"/>
    <w:rsid w:val="00582294"/>
    <w:rsid w:val="0058298F"/>
    <w:rsid w:val="00582F7D"/>
    <w:rsid w:val="00583206"/>
    <w:rsid w:val="00585406"/>
    <w:rsid w:val="005854C1"/>
    <w:rsid w:val="005858D2"/>
    <w:rsid w:val="005859CC"/>
    <w:rsid w:val="00585BE1"/>
    <w:rsid w:val="00585F45"/>
    <w:rsid w:val="00586031"/>
    <w:rsid w:val="005868BB"/>
    <w:rsid w:val="00587476"/>
    <w:rsid w:val="00587738"/>
    <w:rsid w:val="00590226"/>
    <w:rsid w:val="00590347"/>
    <w:rsid w:val="00590613"/>
    <w:rsid w:val="005909CF"/>
    <w:rsid w:val="005910E9"/>
    <w:rsid w:val="0059303D"/>
    <w:rsid w:val="00593C4E"/>
    <w:rsid w:val="005947FD"/>
    <w:rsid w:val="005949D7"/>
    <w:rsid w:val="00594A02"/>
    <w:rsid w:val="005959AE"/>
    <w:rsid w:val="00595E7D"/>
    <w:rsid w:val="005966C1"/>
    <w:rsid w:val="005A2854"/>
    <w:rsid w:val="005A3EA8"/>
    <w:rsid w:val="005A45E8"/>
    <w:rsid w:val="005A5B4E"/>
    <w:rsid w:val="005A5C9D"/>
    <w:rsid w:val="005A6A38"/>
    <w:rsid w:val="005A7095"/>
    <w:rsid w:val="005A7301"/>
    <w:rsid w:val="005B05DF"/>
    <w:rsid w:val="005B08F4"/>
    <w:rsid w:val="005B3C31"/>
    <w:rsid w:val="005B43CC"/>
    <w:rsid w:val="005B4426"/>
    <w:rsid w:val="005B509A"/>
    <w:rsid w:val="005B5907"/>
    <w:rsid w:val="005B647C"/>
    <w:rsid w:val="005B6FB5"/>
    <w:rsid w:val="005C2309"/>
    <w:rsid w:val="005C295C"/>
    <w:rsid w:val="005C31BF"/>
    <w:rsid w:val="005C384C"/>
    <w:rsid w:val="005C4A81"/>
    <w:rsid w:val="005C4B06"/>
    <w:rsid w:val="005C4CBE"/>
    <w:rsid w:val="005C5235"/>
    <w:rsid w:val="005C63E0"/>
    <w:rsid w:val="005C6FE9"/>
    <w:rsid w:val="005C7190"/>
    <w:rsid w:val="005C7771"/>
    <w:rsid w:val="005D0072"/>
    <w:rsid w:val="005D10E6"/>
    <w:rsid w:val="005D30A3"/>
    <w:rsid w:val="005D7EEC"/>
    <w:rsid w:val="005E1125"/>
    <w:rsid w:val="005E4026"/>
    <w:rsid w:val="005E42C8"/>
    <w:rsid w:val="005E549E"/>
    <w:rsid w:val="005E5F1F"/>
    <w:rsid w:val="005E6FB4"/>
    <w:rsid w:val="005F0A20"/>
    <w:rsid w:val="005F13DA"/>
    <w:rsid w:val="005F155C"/>
    <w:rsid w:val="005F2278"/>
    <w:rsid w:val="005F2762"/>
    <w:rsid w:val="005F2B80"/>
    <w:rsid w:val="005F3678"/>
    <w:rsid w:val="005F37F2"/>
    <w:rsid w:val="005F46D0"/>
    <w:rsid w:val="005F4EA7"/>
    <w:rsid w:val="005F56BF"/>
    <w:rsid w:val="005F69E2"/>
    <w:rsid w:val="005F6DFE"/>
    <w:rsid w:val="005F73EC"/>
    <w:rsid w:val="00600C40"/>
    <w:rsid w:val="00601064"/>
    <w:rsid w:val="00601765"/>
    <w:rsid w:val="00601852"/>
    <w:rsid w:val="006018BA"/>
    <w:rsid w:val="006029ED"/>
    <w:rsid w:val="00602C64"/>
    <w:rsid w:val="006032AE"/>
    <w:rsid w:val="00603A7C"/>
    <w:rsid w:val="00603D06"/>
    <w:rsid w:val="0060471D"/>
    <w:rsid w:val="00604CCA"/>
    <w:rsid w:val="00604E19"/>
    <w:rsid w:val="00605BE0"/>
    <w:rsid w:val="00606626"/>
    <w:rsid w:val="0060685B"/>
    <w:rsid w:val="00606D9A"/>
    <w:rsid w:val="006110C6"/>
    <w:rsid w:val="0061212C"/>
    <w:rsid w:val="0061216F"/>
    <w:rsid w:val="00613087"/>
    <w:rsid w:val="00613215"/>
    <w:rsid w:val="00613D96"/>
    <w:rsid w:val="0061485D"/>
    <w:rsid w:val="00614D5F"/>
    <w:rsid w:val="00615E8C"/>
    <w:rsid w:val="006162B7"/>
    <w:rsid w:val="006205B0"/>
    <w:rsid w:val="00621105"/>
    <w:rsid w:val="0062332F"/>
    <w:rsid w:val="006233BA"/>
    <w:rsid w:val="006239EB"/>
    <w:rsid w:val="00623D25"/>
    <w:rsid w:val="006245A3"/>
    <w:rsid w:val="00624A84"/>
    <w:rsid w:val="006251C9"/>
    <w:rsid w:val="0062645E"/>
    <w:rsid w:val="006315D6"/>
    <w:rsid w:val="00631A95"/>
    <w:rsid w:val="00631B92"/>
    <w:rsid w:val="0063248F"/>
    <w:rsid w:val="00632894"/>
    <w:rsid w:val="006328E4"/>
    <w:rsid w:val="00634D23"/>
    <w:rsid w:val="006352C7"/>
    <w:rsid w:val="00635380"/>
    <w:rsid w:val="00635602"/>
    <w:rsid w:val="0063594B"/>
    <w:rsid w:val="00636EEC"/>
    <w:rsid w:val="00637DBF"/>
    <w:rsid w:val="00640620"/>
    <w:rsid w:val="0064323A"/>
    <w:rsid w:val="00643255"/>
    <w:rsid w:val="006432B8"/>
    <w:rsid w:val="006443F3"/>
    <w:rsid w:val="00644B65"/>
    <w:rsid w:val="006450B9"/>
    <w:rsid w:val="006452BC"/>
    <w:rsid w:val="00646B14"/>
    <w:rsid w:val="0065027D"/>
    <w:rsid w:val="00650703"/>
    <w:rsid w:val="00650A71"/>
    <w:rsid w:val="00650F73"/>
    <w:rsid w:val="00651E81"/>
    <w:rsid w:val="00652ED5"/>
    <w:rsid w:val="00653ED0"/>
    <w:rsid w:val="00654B3C"/>
    <w:rsid w:val="00654EE8"/>
    <w:rsid w:val="006554E8"/>
    <w:rsid w:val="00656C51"/>
    <w:rsid w:val="00657CA6"/>
    <w:rsid w:val="00660326"/>
    <w:rsid w:val="006606B4"/>
    <w:rsid w:val="006644AC"/>
    <w:rsid w:val="00664D2F"/>
    <w:rsid w:val="00665569"/>
    <w:rsid w:val="0066572E"/>
    <w:rsid w:val="006666DB"/>
    <w:rsid w:val="006675C3"/>
    <w:rsid w:val="00667A46"/>
    <w:rsid w:val="00667B60"/>
    <w:rsid w:val="00670E6D"/>
    <w:rsid w:val="00671342"/>
    <w:rsid w:val="00672E34"/>
    <w:rsid w:val="00673BCC"/>
    <w:rsid w:val="0067506C"/>
    <w:rsid w:val="006751C3"/>
    <w:rsid w:val="00675DBB"/>
    <w:rsid w:val="006764F0"/>
    <w:rsid w:val="0067682A"/>
    <w:rsid w:val="00676D60"/>
    <w:rsid w:val="006771AC"/>
    <w:rsid w:val="006776B7"/>
    <w:rsid w:val="006802E0"/>
    <w:rsid w:val="00682EBB"/>
    <w:rsid w:val="00683078"/>
    <w:rsid w:val="00683247"/>
    <w:rsid w:val="006839A0"/>
    <w:rsid w:val="00684B7C"/>
    <w:rsid w:val="00686B41"/>
    <w:rsid w:val="00686F7F"/>
    <w:rsid w:val="0069076C"/>
    <w:rsid w:val="00691FA9"/>
    <w:rsid w:val="00693445"/>
    <w:rsid w:val="00695CC6"/>
    <w:rsid w:val="00696615"/>
    <w:rsid w:val="00696A36"/>
    <w:rsid w:val="006972C5"/>
    <w:rsid w:val="006A10DC"/>
    <w:rsid w:val="006A3037"/>
    <w:rsid w:val="006A3096"/>
    <w:rsid w:val="006A37DC"/>
    <w:rsid w:val="006A4791"/>
    <w:rsid w:val="006A4D0F"/>
    <w:rsid w:val="006A58C6"/>
    <w:rsid w:val="006A5D6B"/>
    <w:rsid w:val="006A5DA1"/>
    <w:rsid w:val="006A5E2E"/>
    <w:rsid w:val="006A6D7F"/>
    <w:rsid w:val="006A6DAE"/>
    <w:rsid w:val="006A763A"/>
    <w:rsid w:val="006A7885"/>
    <w:rsid w:val="006A7E6C"/>
    <w:rsid w:val="006B0112"/>
    <w:rsid w:val="006B03FD"/>
    <w:rsid w:val="006B0413"/>
    <w:rsid w:val="006B04DB"/>
    <w:rsid w:val="006B1624"/>
    <w:rsid w:val="006B32AA"/>
    <w:rsid w:val="006B3530"/>
    <w:rsid w:val="006B3689"/>
    <w:rsid w:val="006B4695"/>
    <w:rsid w:val="006B5402"/>
    <w:rsid w:val="006B58D8"/>
    <w:rsid w:val="006B68D5"/>
    <w:rsid w:val="006B6DE8"/>
    <w:rsid w:val="006B70F2"/>
    <w:rsid w:val="006B79CD"/>
    <w:rsid w:val="006C28D4"/>
    <w:rsid w:val="006C302D"/>
    <w:rsid w:val="006C34D6"/>
    <w:rsid w:val="006C3564"/>
    <w:rsid w:val="006C3799"/>
    <w:rsid w:val="006C3C8D"/>
    <w:rsid w:val="006C475C"/>
    <w:rsid w:val="006C4C82"/>
    <w:rsid w:val="006C4E18"/>
    <w:rsid w:val="006C51DF"/>
    <w:rsid w:val="006C5F01"/>
    <w:rsid w:val="006C6789"/>
    <w:rsid w:val="006C6EAD"/>
    <w:rsid w:val="006D129E"/>
    <w:rsid w:val="006D1AD3"/>
    <w:rsid w:val="006D48FA"/>
    <w:rsid w:val="006D4B63"/>
    <w:rsid w:val="006D4D56"/>
    <w:rsid w:val="006D5786"/>
    <w:rsid w:val="006D6786"/>
    <w:rsid w:val="006D7263"/>
    <w:rsid w:val="006D7673"/>
    <w:rsid w:val="006E0356"/>
    <w:rsid w:val="006E28EF"/>
    <w:rsid w:val="006E2E45"/>
    <w:rsid w:val="006E30CF"/>
    <w:rsid w:val="006E4770"/>
    <w:rsid w:val="006E54FA"/>
    <w:rsid w:val="006E6449"/>
    <w:rsid w:val="006E6E8D"/>
    <w:rsid w:val="006E735C"/>
    <w:rsid w:val="006E7393"/>
    <w:rsid w:val="006E74E8"/>
    <w:rsid w:val="006E7D70"/>
    <w:rsid w:val="006F0C04"/>
    <w:rsid w:val="006F1FA1"/>
    <w:rsid w:val="006F3355"/>
    <w:rsid w:val="006F381A"/>
    <w:rsid w:val="006F5255"/>
    <w:rsid w:val="006F587C"/>
    <w:rsid w:val="006F6EE3"/>
    <w:rsid w:val="006F74BB"/>
    <w:rsid w:val="006F79F7"/>
    <w:rsid w:val="007056ED"/>
    <w:rsid w:val="007059EA"/>
    <w:rsid w:val="00705A6D"/>
    <w:rsid w:val="00705CF1"/>
    <w:rsid w:val="007079B9"/>
    <w:rsid w:val="00707A77"/>
    <w:rsid w:val="00707FDA"/>
    <w:rsid w:val="00710537"/>
    <w:rsid w:val="00710B7D"/>
    <w:rsid w:val="0071185C"/>
    <w:rsid w:val="00711F83"/>
    <w:rsid w:val="007123B7"/>
    <w:rsid w:val="00712448"/>
    <w:rsid w:val="00713E97"/>
    <w:rsid w:val="0071650F"/>
    <w:rsid w:val="00716757"/>
    <w:rsid w:val="00717A65"/>
    <w:rsid w:val="007204F9"/>
    <w:rsid w:val="00720874"/>
    <w:rsid w:val="0072209F"/>
    <w:rsid w:val="00723024"/>
    <w:rsid w:val="00723DD8"/>
    <w:rsid w:val="0072493F"/>
    <w:rsid w:val="007249FF"/>
    <w:rsid w:val="00724D7E"/>
    <w:rsid w:val="00725CD0"/>
    <w:rsid w:val="0072609A"/>
    <w:rsid w:val="0072628F"/>
    <w:rsid w:val="00727331"/>
    <w:rsid w:val="00727696"/>
    <w:rsid w:val="00727D3C"/>
    <w:rsid w:val="00727F77"/>
    <w:rsid w:val="007301A6"/>
    <w:rsid w:val="00730353"/>
    <w:rsid w:val="00730724"/>
    <w:rsid w:val="00730BF3"/>
    <w:rsid w:val="0073179A"/>
    <w:rsid w:val="00731D17"/>
    <w:rsid w:val="00732D4E"/>
    <w:rsid w:val="00733292"/>
    <w:rsid w:val="007333B2"/>
    <w:rsid w:val="00733599"/>
    <w:rsid w:val="007338F8"/>
    <w:rsid w:val="00733A04"/>
    <w:rsid w:val="00733E02"/>
    <w:rsid w:val="00734A5D"/>
    <w:rsid w:val="00734B9B"/>
    <w:rsid w:val="00734EB6"/>
    <w:rsid w:val="007353A1"/>
    <w:rsid w:val="00735B90"/>
    <w:rsid w:val="00737CA6"/>
    <w:rsid w:val="007401C2"/>
    <w:rsid w:val="00740C0C"/>
    <w:rsid w:val="00740D5B"/>
    <w:rsid w:val="00740D88"/>
    <w:rsid w:val="0074297F"/>
    <w:rsid w:val="00742DC9"/>
    <w:rsid w:val="00745E4C"/>
    <w:rsid w:val="00745F5F"/>
    <w:rsid w:val="00747B41"/>
    <w:rsid w:val="00750A7B"/>
    <w:rsid w:val="00750F8A"/>
    <w:rsid w:val="0075222C"/>
    <w:rsid w:val="007528E2"/>
    <w:rsid w:val="00753FCD"/>
    <w:rsid w:val="007542C3"/>
    <w:rsid w:val="007551E9"/>
    <w:rsid w:val="007554D0"/>
    <w:rsid w:val="00755765"/>
    <w:rsid w:val="007558DB"/>
    <w:rsid w:val="00755981"/>
    <w:rsid w:val="00755C5D"/>
    <w:rsid w:val="007563F1"/>
    <w:rsid w:val="007566BA"/>
    <w:rsid w:val="00756AB4"/>
    <w:rsid w:val="00756C45"/>
    <w:rsid w:val="00757733"/>
    <w:rsid w:val="00757D4A"/>
    <w:rsid w:val="007601F2"/>
    <w:rsid w:val="0076047C"/>
    <w:rsid w:val="007609AA"/>
    <w:rsid w:val="00761C5B"/>
    <w:rsid w:val="00762A22"/>
    <w:rsid w:val="0076317D"/>
    <w:rsid w:val="007635F2"/>
    <w:rsid w:val="007644C0"/>
    <w:rsid w:val="0076490F"/>
    <w:rsid w:val="00764F1D"/>
    <w:rsid w:val="00765226"/>
    <w:rsid w:val="00765BC9"/>
    <w:rsid w:val="007667D2"/>
    <w:rsid w:val="00767F8C"/>
    <w:rsid w:val="00770E8E"/>
    <w:rsid w:val="007728A4"/>
    <w:rsid w:val="00772DC1"/>
    <w:rsid w:val="00772F5A"/>
    <w:rsid w:val="007737B8"/>
    <w:rsid w:val="00773E2E"/>
    <w:rsid w:val="0077455C"/>
    <w:rsid w:val="007749C7"/>
    <w:rsid w:val="00774E8E"/>
    <w:rsid w:val="007759D7"/>
    <w:rsid w:val="00777593"/>
    <w:rsid w:val="007802D7"/>
    <w:rsid w:val="007806AE"/>
    <w:rsid w:val="00780914"/>
    <w:rsid w:val="00780B20"/>
    <w:rsid w:val="00781B23"/>
    <w:rsid w:val="00781D3D"/>
    <w:rsid w:val="00781E76"/>
    <w:rsid w:val="00781FCB"/>
    <w:rsid w:val="007820F3"/>
    <w:rsid w:val="007821EB"/>
    <w:rsid w:val="007827CE"/>
    <w:rsid w:val="007827EB"/>
    <w:rsid w:val="00783CA3"/>
    <w:rsid w:val="00785780"/>
    <w:rsid w:val="00786633"/>
    <w:rsid w:val="0078791D"/>
    <w:rsid w:val="00787B13"/>
    <w:rsid w:val="00790FCD"/>
    <w:rsid w:val="00791ED0"/>
    <w:rsid w:val="007920A9"/>
    <w:rsid w:val="00792A6F"/>
    <w:rsid w:val="00794169"/>
    <w:rsid w:val="00794ABA"/>
    <w:rsid w:val="0079502A"/>
    <w:rsid w:val="007953A6"/>
    <w:rsid w:val="00795A4C"/>
    <w:rsid w:val="00797D85"/>
    <w:rsid w:val="007A1573"/>
    <w:rsid w:val="007A1C32"/>
    <w:rsid w:val="007A21CB"/>
    <w:rsid w:val="007A23CA"/>
    <w:rsid w:val="007A25D3"/>
    <w:rsid w:val="007A4009"/>
    <w:rsid w:val="007A44C4"/>
    <w:rsid w:val="007A5253"/>
    <w:rsid w:val="007A6118"/>
    <w:rsid w:val="007A6DEE"/>
    <w:rsid w:val="007A6E8A"/>
    <w:rsid w:val="007A6EF6"/>
    <w:rsid w:val="007A703C"/>
    <w:rsid w:val="007B0A87"/>
    <w:rsid w:val="007B1512"/>
    <w:rsid w:val="007B3308"/>
    <w:rsid w:val="007B3CAA"/>
    <w:rsid w:val="007B47B6"/>
    <w:rsid w:val="007B63F0"/>
    <w:rsid w:val="007B71F5"/>
    <w:rsid w:val="007B7C34"/>
    <w:rsid w:val="007B7EBA"/>
    <w:rsid w:val="007B7F3B"/>
    <w:rsid w:val="007C1F36"/>
    <w:rsid w:val="007C313B"/>
    <w:rsid w:val="007C3286"/>
    <w:rsid w:val="007C3489"/>
    <w:rsid w:val="007C361A"/>
    <w:rsid w:val="007C49DE"/>
    <w:rsid w:val="007C4F82"/>
    <w:rsid w:val="007C645C"/>
    <w:rsid w:val="007C6914"/>
    <w:rsid w:val="007C710F"/>
    <w:rsid w:val="007D196F"/>
    <w:rsid w:val="007D2705"/>
    <w:rsid w:val="007D2BD4"/>
    <w:rsid w:val="007D3BB6"/>
    <w:rsid w:val="007D4207"/>
    <w:rsid w:val="007D546D"/>
    <w:rsid w:val="007E06CC"/>
    <w:rsid w:val="007E0B86"/>
    <w:rsid w:val="007E0E86"/>
    <w:rsid w:val="007E1E10"/>
    <w:rsid w:val="007E2BB2"/>
    <w:rsid w:val="007E2D7E"/>
    <w:rsid w:val="007E3CBC"/>
    <w:rsid w:val="007E4B28"/>
    <w:rsid w:val="007E4BAB"/>
    <w:rsid w:val="007E51F6"/>
    <w:rsid w:val="007E544E"/>
    <w:rsid w:val="007E5CEE"/>
    <w:rsid w:val="007E5DFB"/>
    <w:rsid w:val="007E693E"/>
    <w:rsid w:val="007E6E2F"/>
    <w:rsid w:val="007E6FC0"/>
    <w:rsid w:val="007F0162"/>
    <w:rsid w:val="007F0E56"/>
    <w:rsid w:val="007F13D5"/>
    <w:rsid w:val="007F15FD"/>
    <w:rsid w:val="007F2058"/>
    <w:rsid w:val="007F3022"/>
    <w:rsid w:val="007F30C8"/>
    <w:rsid w:val="007F4AFF"/>
    <w:rsid w:val="007F4DC8"/>
    <w:rsid w:val="007F4E17"/>
    <w:rsid w:val="007F58FE"/>
    <w:rsid w:val="007F5A1D"/>
    <w:rsid w:val="007F5F32"/>
    <w:rsid w:val="007F5FF5"/>
    <w:rsid w:val="007F653A"/>
    <w:rsid w:val="007F6B49"/>
    <w:rsid w:val="007F762C"/>
    <w:rsid w:val="00800CDD"/>
    <w:rsid w:val="008021B8"/>
    <w:rsid w:val="00802242"/>
    <w:rsid w:val="00803448"/>
    <w:rsid w:val="008039AA"/>
    <w:rsid w:val="00804222"/>
    <w:rsid w:val="00804CE7"/>
    <w:rsid w:val="0080631B"/>
    <w:rsid w:val="00806448"/>
    <w:rsid w:val="0080671B"/>
    <w:rsid w:val="008071E8"/>
    <w:rsid w:val="00807A40"/>
    <w:rsid w:val="008106E6"/>
    <w:rsid w:val="0081169B"/>
    <w:rsid w:val="00811942"/>
    <w:rsid w:val="00812056"/>
    <w:rsid w:val="00812E00"/>
    <w:rsid w:val="008150BE"/>
    <w:rsid w:val="008150E6"/>
    <w:rsid w:val="0081553D"/>
    <w:rsid w:val="008159F4"/>
    <w:rsid w:val="00815C3D"/>
    <w:rsid w:val="0081613A"/>
    <w:rsid w:val="0081706F"/>
    <w:rsid w:val="00817295"/>
    <w:rsid w:val="008179B7"/>
    <w:rsid w:val="00817C18"/>
    <w:rsid w:val="00820411"/>
    <w:rsid w:val="0082088E"/>
    <w:rsid w:val="008216B8"/>
    <w:rsid w:val="008230EE"/>
    <w:rsid w:val="00824F5B"/>
    <w:rsid w:val="0082543B"/>
    <w:rsid w:val="008269F0"/>
    <w:rsid w:val="0082758A"/>
    <w:rsid w:val="008329F1"/>
    <w:rsid w:val="00833770"/>
    <w:rsid w:val="00833F23"/>
    <w:rsid w:val="008350AF"/>
    <w:rsid w:val="00835337"/>
    <w:rsid w:val="008355D9"/>
    <w:rsid w:val="008408F8"/>
    <w:rsid w:val="00840FDC"/>
    <w:rsid w:val="00841C10"/>
    <w:rsid w:val="00843154"/>
    <w:rsid w:val="0084321B"/>
    <w:rsid w:val="00846C6E"/>
    <w:rsid w:val="00847436"/>
    <w:rsid w:val="00847670"/>
    <w:rsid w:val="00847AD6"/>
    <w:rsid w:val="00847DD2"/>
    <w:rsid w:val="00847E30"/>
    <w:rsid w:val="00850130"/>
    <w:rsid w:val="00850291"/>
    <w:rsid w:val="0085084A"/>
    <w:rsid w:val="008510D2"/>
    <w:rsid w:val="00851502"/>
    <w:rsid w:val="0085161A"/>
    <w:rsid w:val="008541C7"/>
    <w:rsid w:val="00854888"/>
    <w:rsid w:val="00855596"/>
    <w:rsid w:val="008563B1"/>
    <w:rsid w:val="00856F55"/>
    <w:rsid w:val="008579AF"/>
    <w:rsid w:val="008579DE"/>
    <w:rsid w:val="00857E9F"/>
    <w:rsid w:val="00860297"/>
    <w:rsid w:val="0086107E"/>
    <w:rsid w:val="00861CD7"/>
    <w:rsid w:val="008623B3"/>
    <w:rsid w:val="0086270D"/>
    <w:rsid w:val="00862D83"/>
    <w:rsid w:val="008632AE"/>
    <w:rsid w:val="00863BD2"/>
    <w:rsid w:val="00863E4E"/>
    <w:rsid w:val="00863FD6"/>
    <w:rsid w:val="00870BE8"/>
    <w:rsid w:val="00871BF8"/>
    <w:rsid w:val="00872296"/>
    <w:rsid w:val="0087311D"/>
    <w:rsid w:val="00873F04"/>
    <w:rsid w:val="00874221"/>
    <w:rsid w:val="00876556"/>
    <w:rsid w:val="0087714C"/>
    <w:rsid w:val="0087770B"/>
    <w:rsid w:val="00877B18"/>
    <w:rsid w:val="00877E42"/>
    <w:rsid w:val="00880181"/>
    <w:rsid w:val="008819DD"/>
    <w:rsid w:val="00884367"/>
    <w:rsid w:val="008850BE"/>
    <w:rsid w:val="00886A50"/>
    <w:rsid w:val="008879F3"/>
    <w:rsid w:val="00887EED"/>
    <w:rsid w:val="0089064A"/>
    <w:rsid w:val="00890CB7"/>
    <w:rsid w:val="00890CF9"/>
    <w:rsid w:val="0089193E"/>
    <w:rsid w:val="00892441"/>
    <w:rsid w:val="00894A77"/>
    <w:rsid w:val="00894FEC"/>
    <w:rsid w:val="008959D7"/>
    <w:rsid w:val="0089717D"/>
    <w:rsid w:val="008971EF"/>
    <w:rsid w:val="00897C48"/>
    <w:rsid w:val="008A1599"/>
    <w:rsid w:val="008A254B"/>
    <w:rsid w:val="008A2BAC"/>
    <w:rsid w:val="008A4ADE"/>
    <w:rsid w:val="008A526E"/>
    <w:rsid w:val="008A5E61"/>
    <w:rsid w:val="008A5F77"/>
    <w:rsid w:val="008A6381"/>
    <w:rsid w:val="008B0348"/>
    <w:rsid w:val="008B05B4"/>
    <w:rsid w:val="008B0C7F"/>
    <w:rsid w:val="008B1CBF"/>
    <w:rsid w:val="008B2091"/>
    <w:rsid w:val="008B351B"/>
    <w:rsid w:val="008B3868"/>
    <w:rsid w:val="008B3A6A"/>
    <w:rsid w:val="008B49CE"/>
    <w:rsid w:val="008B4E90"/>
    <w:rsid w:val="008B51BA"/>
    <w:rsid w:val="008B5271"/>
    <w:rsid w:val="008B552F"/>
    <w:rsid w:val="008B6951"/>
    <w:rsid w:val="008B73B2"/>
    <w:rsid w:val="008B78B6"/>
    <w:rsid w:val="008C08E5"/>
    <w:rsid w:val="008C118B"/>
    <w:rsid w:val="008C2AA2"/>
    <w:rsid w:val="008C3DE4"/>
    <w:rsid w:val="008C5317"/>
    <w:rsid w:val="008C556C"/>
    <w:rsid w:val="008C56E3"/>
    <w:rsid w:val="008C61DE"/>
    <w:rsid w:val="008C6275"/>
    <w:rsid w:val="008C689E"/>
    <w:rsid w:val="008C741B"/>
    <w:rsid w:val="008D07EE"/>
    <w:rsid w:val="008D0B51"/>
    <w:rsid w:val="008D0BF3"/>
    <w:rsid w:val="008D1A24"/>
    <w:rsid w:val="008D2841"/>
    <w:rsid w:val="008D40C5"/>
    <w:rsid w:val="008D72B1"/>
    <w:rsid w:val="008E0E54"/>
    <w:rsid w:val="008E0FD9"/>
    <w:rsid w:val="008E1324"/>
    <w:rsid w:val="008E15A1"/>
    <w:rsid w:val="008E1E04"/>
    <w:rsid w:val="008E2FB8"/>
    <w:rsid w:val="008E3C59"/>
    <w:rsid w:val="008E43D0"/>
    <w:rsid w:val="008E4CD1"/>
    <w:rsid w:val="008E57CE"/>
    <w:rsid w:val="008E5DCA"/>
    <w:rsid w:val="008E7C9F"/>
    <w:rsid w:val="008F055E"/>
    <w:rsid w:val="008F1890"/>
    <w:rsid w:val="008F2A01"/>
    <w:rsid w:val="008F3023"/>
    <w:rsid w:val="008F47AB"/>
    <w:rsid w:val="008F5057"/>
    <w:rsid w:val="008F5E6D"/>
    <w:rsid w:val="008F5FE7"/>
    <w:rsid w:val="008F60EA"/>
    <w:rsid w:val="008F6502"/>
    <w:rsid w:val="008F6887"/>
    <w:rsid w:val="0090038B"/>
    <w:rsid w:val="00900903"/>
    <w:rsid w:val="00900D86"/>
    <w:rsid w:val="00901041"/>
    <w:rsid w:val="009019AF"/>
    <w:rsid w:val="009025CD"/>
    <w:rsid w:val="00903159"/>
    <w:rsid w:val="009031C2"/>
    <w:rsid w:val="00903EF7"/>
    <w:rsid w:val="0090491D"/>
    <w:rsid w:val="009060FE"/>
    <w:rsid w:val="00906766"/>
    <w:rsid w:val="009069EF"/>
    <w:rsid w:val="00907676"/>
    <w:rsid w:val="00907699"/>
    <w:rsid w:val="00907790"/>
    <w:rsid w:val="009102C3"/>
    <w:rsid w:val="00910832"/>
    <w:rsid w:val="009124D0"/>
    <w:rsid w:val="009129C7"/>
    <w:rsid w:val="00913A17"/>
    <w:rsid w:val="0091449E"/>
    <w:rsid w:val="00916DA5"/>
    <w:rsid w:val="00920F9E"/>
    <w:rsid w:val="00922BA3"/>
    <w:rsid w:val="00923185"/>
    <w:rsid w:val="00924DA2"/>
    <w:rsid w:val="009253CF"/>
    <w:rsid w:val="00925777"/>
    <w:rsid w:val="0092594E"/>
    <w:rsid w:val="00927DAD"/>
    <w:rsid w:val="00927FFE"/>
    <w:rsid w:val="00930884"/>
    <w:rsid w:val="009317F6"/>
    <w:rsid w:val="009323E4"/>
    <w:rsid w:val="00932FEF"/>
    <w:rsid w:val="00933DC9"/>
    <w:rsid w:val="00933E79"/>
    <w:rsid w:val="0093439D"/>
    <w:rsid w:val="00934A32"/>
    <w:rsid w:val="00934FF3"/>
    <w:rsid w:val="00936D56"/>
    <w:rsid w:val="00940944"/>
    <w:rsid w:val="00941E6C"/>
    <w:rsid w:val="0094213F"/>
    <w:rsid w:val="009438B7"/>
    <w:rsid w:val="00943E5C"/>
    <w:rsid w:val="009446E3"/>
    <w:rsid w:val="00944D1D"/>
    <w:rsid w:val="009463F7"/>
    <w:rsid w:val="0094659A"/>
    <w:rsid w:val="0095008E"/>
    <w:rsid w:val="009518E9"/>
    <w:rsid w:val="00951994"/>
    <w:rsid w:val="00954443"/>
    <w:rsid w:val="009546E9"/>
    <w:rsid w:val="00955A7C"/>
    <w:rsid w:val="00955FB1"/>
    <w:rsid w:val="00956D67"/>
    <w:rsid w:val="00961B58"/>
    <w:rsid w:val="009635D4"/>
    <w:rsid w:val="009641FD"/>
    <w:rsid w:val="00964AAE"/>
    <w:rsid w:val="00966612"/>
    <w:rsid w:val="00966968"/>
    <w:rsid w:val="00967A81"/>
    <w:rsid w:val="00970956"/>
    <w:rsid w:val="0097179A"/>
    <w:rsid w:val="00972ECE"/>
    <w:rsid w:val="00973E6B"/>
    <w:rsid w:val="0097464B"/>
    <w:rsid w:val="009746A7"/>
    <w:rsid w:val="00980340"/>
    <w:rsid w:val="00980B62"/>
    <w:rsid w:val="0098108F"/>
    <w:rsid w:val="00981972"/>
    <w:rsid w:val="009819B0"/>
    <w:rsid w:val="0098217F"/>
    <w:rsid w:val="009823C7"/>
    <w:rsid w:val="00982A4D"/>
    <w:rsid w:val="00982F49"/>
    <w:rsid w:val="009847A8"/>
    <w:rsid w:val="00984D73"/>
    <w:rsid w:val="00986D0F"/>
    <w:rsid w:val="00990322"/>
    <w:rsid w:val="00990D03"/>
    <w:rsid w:val="00991181"/>
    <w:rsid w:val="00994BFE"/>
    <w:rsid w:val="00994EFF"/>
    <w:rsid w:val="0099572D"/>
    <w:rsid w:val="00996415"/>
    <w:rsid w:val="009A0814"/>
    <w:rsid w:val="009A1227"/>
    <w:rsid w:val="009A21EF"/>
    <w:rsid w:val="009A2C0C"/>
    <w:rsid w:val="009A2DD7"/>
    <w:rsid w:val="009A2F2C"/>
    <w:rsid w:val="009A3599"/>
    <w:rsid w:val="009A3CEB"/>
    <w:rsid w:val="009A4BD3"/>
    <w:rsid w:val="009A5A68"/>
    <w:rsid w:val="009A7FCD"/>
    <w:rsid w:val="009A7FE0"/>
    <w:rsid w:val="009B022B"/>
    <w:rsid w:val="009B094D"/>
    <w:rsid w:val="009B0FC6"/>
    <w:rsid w:val="009B29B0"/>
    <w:rsid w:val="009B2A68"/>
    <w:rsid w:val="009B2B7A"/>
    <w:rsid w:val="009B3A6C"/>
    <w:rsid w:val="009B3E24"/>
    <w:rsid w:val="009B5324"/>
    <w:rsid w:val="009B5801"/>
    <w:rsid w:val="009B6BC5"/>
    <w:rsid w:val="009B70F2"/>
    <w:rsid w:val="009B7A80"/>
    <w:rsid w:val="009C0131"/>
    <w:rsid w:val="009C0201"/>
    <w:rsid w:val="009C1C14"/>
    <w:rsid w:val="009C25DC"/>
    <w:rsid w:val="009C2CAA"/>
    <w:rsid w:val="009C31C2"/>
    <w:rsid w:val="009C3B7A"/>
    <w:rsid w:val="009C4667"/>
    <w:rsid w:val="009C4A4B"/>
    <w:rsid w:val="009C50E3"/>
    <w:rsid w:val="009C6D8E"/>
    <w:rsid w:val="009D07FD"/>
    <w:rsid w:val="009D107D"/>
    <w:rsid w:val="009D127B"/>
    <w:rsid w:val="009D1E03"/>
    <w:rsid w:val="009D259F"/>
    <w:rsid w:val="009D2A22"/>
    <w:rsid w:val="009D3714"/>
    <w:rsid w:val="009D4076"/>
    <w:rsid w:val="009D4916"/>
    <w:rsid w:val="009D5A2A"/>
    <w:rsid w:val="009D647A"/>
    <w:rsid w:val="009D714A"/>
    <w:rsid w:val="009D7D81"/>
    <w:rsid w:val="009E09C8"/>
    <w:rsid w:val="009E15E5"/>
    <w:rsid w:val="009E21F3"/>
    <w:rsid w:val="009E309C"/>
    <w:rsid w:val="009E3510"/>
    <w:rsid w:val="009E5072"/>
    <w:rsid w:val="009E69BB"/>
    <w:rsid w:val="009E7743"/>
    <w:rsid w:val="009E7D67"/>
    <w:rsid w:val="009F05D2"/>
    <w:rsid w:val="009F0614"/>
    <w:rsid w:val="009F064F"/>
    <w:rsid w:val="009F107B"/>
    <w:rsid w:val="009F1190"/>
    <w:rsid w:val="009F20C5"/>
    <w:rsid w:val="009F38F4"/>
    <w:rsid w:val="009F4390"/>
    <w:rsid w:val="009F47C1"/>
    <w:rsid w:val="009F513C"/>
    <w:rsid w:val="009F6E01"/>
    <w:rsid w:val="009F78EA"/>
    <w:rsid w:val="009F7DEC"/>
    <w:rsid w:val="00A00452"/>
    <w:rsid w:val="00A005F2"/>
    <w:rsid w:val="00A00CBA"/>
    <w:rsid w:val="00A010CC"/>
    <w:rsid w:val="00A0112D"/>
    <w:rsid w:val="00A0139F"/>
    <w:rsid w:val="00A0148C"/>
    <w:rsid w:val="00A014ED"/>
    <w:rsid w:val="00A024B7"/>
    <w:rsid w:val="00A0391D"/>
    <w:rsid w:val="00A04604"/>
    <w:rsid w:val="00A04F9F"/>
    <w:rsid w:val="00A077FB"/>
    <w:rsid w:val="00A07F67"/>
    <w:rsid w:val="00A10BE1"/>
    <w:rsid w:val="00A11481"/>
    <w:rsid w:val="00A11703"/>
    <w:rsid w:val="00A11784"/>
    <w:rsid w:val="00A11849"/>
    <w:rsid w:val="00A11865"/>
    <w:rsid w:val="00A11E21"/>
    <w:rsid w:val="00A136C1"/>
    <w:rsid w:val="00A142AE"/>
    <w:rsid w:val="00A147A8"/>
    <w:rsid w:val="00A16250"/>
    <w:rsid w:val="00A1748A"/>
    <w:rsid w:val="00A20B7C"/>
    <w:rsid w:val="00A22497"/>
    <w:rsid w:val="00A2554A"/>
    <w:rsid w:val="00A26183"/>
    <w:rsid w:val="00A27468"/>
    <w:rsid w:val="00A30381"/>
    <w:rsid w:val="00A30AB8"/>
    <w:rsid w:val="00A30E92"/>
    <w:rsid w:val="00A330C6"/>
    <w:rsid w:val="00A33403"/>
    <w:rsid w:val="00A35628"/>
    <w:rsid w:val="00A35913"/>
    <w:rsid w:val="00A370AD"/>
    <w:rsid w:val="00A370C4"/>
    <w:rsid w:val="00A372D5"/>
    <w:rsid w:val="00A3752B"/>
    <w:rsid w:val="00A4075C"/>
    <w:rsid w:val="00A428E1"/>
    <w:rsid w:val="00A44654"/>
    <w:rsid w:val="00A44F4A"/>
    <w:rsid w:val="00A452E3"/>
    <w:rsid w:val="00A459EE"/>
    <w:rsid w:val="00A47E30"/>
    <w:rsid w:val="00A5006B"/>
    <w:rsid w:val="00A50C08"/>
    <w:rsid w:val="00A53DE1"/>
    <w:rsid w:val="00A54632"/>
    <w:rsid w:val="00A54D45"/>
    <w:rsid w:val="00A5591F"/>
    <w:rsid w:val="00A56493"/>
    <w:rsid w:val="00A571BA"/>
    <w:rsid w:val="00A57629"/>
    <w:rsid w:val="00A57FDF"/>
    <w:rsid w:val="00A61063"/>
    <w:rsid w:val="00A611BC"/>
    <w:rsid w:val="00A615BE"/>
    <w:rsid w:val="00A6193F"/>
    <w:rsid w:val="00A619D7"/>
    <w:rsid w:val="00A62B7B"/>
    <w:rsid w:val="00A63AB5"/>
    <w:rsid w:val="00A63D07"/>
    <w:rsid w:val="00A6478C"/>
    <w:rsid w:val="00A64BB7"/>
    <w:rsid w:val="00A6555C"/>
    <w:rsid w:val="00A666EE"/>
    <w:rsid w:val="00A66859"/>
    <w:rsid w:val="00A6716E"/>
    <w:rsid w:val="00A70F0E"/>
    <w:rsid w:val="00A71844"/>
    <w:rsid w:val="00A7219A"/>
    <w:rsid w:val="00A739D7"/>
    <w:rsid w:val="00A74C13"/>
    <w:rsid w:val="00A74F2B"/>
    <w:rsid w:val="00A75621"/>
    <w:rsid w:val="00A75842"/>
    <w:rsid w:val="00A76379"/>
    <w:rsid w:val="00A76D3F"/>
    <w:rsid w:val="00A77D45"/>
    <w:rsid w:val="00A82152"/>
    <w:rsid w:val="00A84109"/>
    <w:rsid w:val="00A849A8"/>
    <w:rsid w:val="00A84D81"/>
    <w:rsid w:val="00A8658A"/>
    <w:rsid w:val="00A86943"/>
    <w:rsid w:val="00A86F1B"/>
    <w:rsid w:val="00A87775"/>
    <w:rsid w:val="00A900F0"/>
    <w:rsid w:val="00A90DEA"/>
    <w:rsid w:val="00A910A2"/>
    <w:rsid w:val="00A911FC"/>
    <w:rsid w:val="00A9153B"/>
    <w:rsid w:val="00A93169"/>
    <w:rsid w:val="00A93CD2"/>
    <w:rsid w:val="00A9421D"/>
    <w:rsid w:val="00A954AA"/>
    <w:rsid w:val="00A95D0D"/>
    <w:rsid w:val="00A95F90"/>
    <w:rsid w:val="00A96B6A"/>
    <w:rsid w:val="00A96E59"/>
    <w:rsid w:val="00AA0B6D"/>
    <w:rsid w:val="00AA1B6C"/>
    <w:rsid w:val="00AA1F7B"/>
    <w:rsid w:val="00AA2B75"/>
    <w:rsid w:val="00AA2D4F"/>
    <w:rsid w:val="00AA3231"/>
    <w:rsid w:val="00AA3AF9"/>
    <w:rsid w:val="00AA4724"/>
    <w:rsid w:val="00AA4F35"/>
    <w:rsid w:val="00AA53AB"/>
    <w:rsid w:val="00AA550D"/>
    <w:rsid w:val="00AA56EB"/>
    <w:rsid w:val="00AA5A9B"/>
    <w:rsid w:val="00AA60E2"/>
    <w:rsid w:val="00AA7002"/>
    <w:rsid w:val="00AA70DE"/>
    <w:rsid w:val="00AA7406"/>
    <w:rsid w:val="00AA7556"/>
    <w:rsid w:val="00AA77E0"/>
    <w:rsid w:val="00AB0091"/>
    <w:rsid w:val="00AB3EBD"/>
    <w:rsid w:val="00AB5219"/>
    <w:rsid w:val="00AB5CC0"/>
    <w:rsid w:val="00AB6896"/>
    <w:rsid w:val="00AB6928"/>
    <w:rsid w:val="00AB7457"/>
    <w:rsid w:val="00AB7F74"/>
    <w:rsid w:val="00AC08C4"/>
    <w:rsid w:val="00AC0998"/>
    <w:rsid w:val="00AC1C57"/>
    <w:rsid w:val="00AC1EFD"/>
    <w:rsid w:val="00AC207F"/>
    <w:rsid w:val="00AC224F"/>
    <w:rsid w:val="00AC2976"/>
    <w:rsid w:val="00AC303D"/>
    <w:rsid w:val="00AC38B9"/>
    <w:rsid w:val="00AC3FF3"/>
    <w:rsid w:val="00AC40FC"/>
    <w:rsid w:val="00AC4D3B"/>
    <w:rsid w:val="00AC4F03"/>
    <w:rsid w:val="00AC704A"/>
    <w:rsid w:val="00AC79D9"/>
    <w:rsid w:val="00AC7A9D"/>
    <w:rsid w:val="00AD00ED"/>
    <w:rsid w:val="00AD1A2A"/>
    <w:rsid w:val="00AD229E"/>
    <w:rsid w:val="00AD2829"/>
    <w:rsid w:val="00AD33C2"/>
    <w:rsid w:val="00AD3564"/>
    <w:rsid w:val="00AD37F5"/>
    <w:rsid w:val="00AD3927"/>
    <w:rsid w:val="00AD3CD9"/>
    <w:rsid w:val="00AD57DD"/>
    <w:rsid w:val="00AD5870"/>
    <w:rsid w:val="00AD667B"/>
    <w:rsid w:val="00AD79FD"/>
    <w:rsid w:val="00AE1329"/>
    <w:rsid w:val="00AE3D2C"/>
    <w:rsid w:val="00AE3FB9"/>
    <w:rsid w:val="00AE56E5"/>
    <w:rsid w:val="00AE7A4F"/>
    <w:rsid w:val="00AEDA34"/>
    <w:rsid w:val="00AF1BB4"/>
    <w:rsid w:val="00AF2B3B"/>
    <w:rsid w:val="00AF3BE8"/>
    <w:rsid w:val="00AF75AC"/>
    <w:rsid w:val="00B004C2"/>
    <w:rsid w:val="00B00D24"/>
    <w:rsid w:val="00B00F13"/>
    <w:rsid w:val="00B01A14"/>
    <w:rsid w:val="00B0254F"/>
    <w:rsid w:val="00B036AA"/>
    <w:rsid w:val="00B0453E"/>
    <w:rsid w:val="00B0478F"/>
    <w:rsid w:val="00B05195"/>
    <w:rsid w:val="00B06A2F"/>
    <w:rsid w:val="00B07464"/>
    <w:rsid w:val="00B07EFD"/>
    <w:rsid w:val="00B113EF"/>
    <w:rsid w:val="00B12815"/>
    <w:rsid w:val="00B13345"/>
    <w:rsid w:val="00B15132"/>
    <w:rsid w:val="00B171BB"/>
    <w:rsid w:val="00B20D24"/>
    <w:rsid w:val="00B218CA"/>
    <w:rsid w:val="00B21A95"/>
    <w:rsid w:val="00B226A8"/>
    <w:rsid w:val="00B22B24"/>
    <w:rsid w:val="00B233EB"/>
    <w:rsid w:val="00B23B8C"/>
    <w:rsid w:val="00B23C5F"/>
    <w:rsid w:val="00B24456"/>
    <w:rsid w:val="00B24EE7"/>
    <w:rsid w:val="00B2635B"/>
    <w:rsid w:val="00B26767"/>
    <w:rsid w:val="00B3038A"/>
    <w:rsid w:val="00B3187F"/>
    <w:rsid w:val="00B31CD2"/>
    <w:rsid w:val="00B31DC4"/>
    <w:rsid w:val="00B3209A"/>
    <w:rsid w:val="00B326C8"/>
    <w:rsid w:val="00B333B6"/>
    <w:rsid w:val="00B33B14"/>
    <w:rsid w:val="00B33CDE"/>
    <w:rsid w:val="00B34A89"/>
    <w:rsid w:val="00B36CC2"/>
    <w:rsid w:val="00B371CB"/>
    <w:rsid w:val="00B37429"/>
    <w:rsid w:val="00B377CF"/>
    <w:rsid w:val="00B4023A"/>
    <w:rsid w:val="00B4053C"/>
    <w:rsid w:val="00B40BA5"/>
    <w:rsid w:val="00B418C0"/>
    <w:rsid w:val="00B418EA"/>
    <w:rsid w:val="00B41C5F"/>
    <w:rsid w:val="00B427D9"/>
    <w:rsid w:val="00B43288"/>
    <w:rsid w:val="00B45738"/>
    <w:rsid w:val="00B4598A"/>
    <w:rsid w:val="00B45B46"/>
    <w:rsid w:val="00B4627B"/>
    <w:rsid w:val="00B46DA1"/>
    <w:rsid w:val="00B46FE2"/>
    <w:rsid w:val="00B47A77"/>
    <w:rsid w:val="00B47B30"/>
    <w:rsid w:val="00B507E9"/>
    <w:rsid w:val="00B51145"/>
    <w:rsid w:val="00B52186"/>
    <w:rsid w:val="00B52E71"/>
    <w:rsid w:val="00B538FA"/>
    <w:rsid w:val="00B53F32"/>
    <w:rsid w:val="00B54160"/>
    <w:rsid w:val="00B54E55"/>
    <w:rsid w:val="00B55172"/>
    <w:rsid w:val="00B552D4"/>
    <w:rsid w:val="00B556C1"/>
    <w:rsid w:val="00B55D1E"/>
    <w:rsid w:val="00B5758B"/>
    <w:rsid w:val="00B576D2"/>
    <w:rsid w:val="00B57E5B"/>
    <w:rsid w:val="00B61482"/>
    <w:rsid w:val="00B61A9C"/>
    <w:rsid w:val="00B61DD1"/>
    <w:rsid w:val="00B620ED"/>
    <w:rsid w:val="00B62EF6"/>
    <w:rsid w:val="00B63A26"/>
    <w:rsid w:val="00B63B51"/>
    <w:rsid w:val="00B63D8A"/>
    <w:rsid w:val="00B64562"/>
    <w:rsid w:val="00B64C75"/>
    <w:rsid w:val="00B658F3"/>
    <w:rsid w:val="00B65F88"/>
    <w:rsid w:val="00B6641D"/>
    <w:rsid w:val="00B71331"/>
    <w:rsid w:val="00B713FF"/>
    <w:rsid w:val="00B71A59"/>
    <w:rsid w:val="00B72AB4"/>
    <w:rsid w:val="00B72DF0"/>
    <w:rsid w:val="00B73CC0"/>
    <w:rsid w:val="00B74256"/>
    <w:rsid w:val="00B7427B"/>
    <w:rsid w:val="00B74659"/>
    <w:rsid w:val="00B75177"/>
    <w:rsid w:val="00B7521B"/>
    <w:rsid w:val="00B77A5B"/>
    <w:rsid w:val="00B80123"/>
    <w:rsid w:val="00B80130"/>
    <w:rsid w:val="00B823DA"/>
    <w:rsid w:val="00B82E00"/>
    <w:rsid w:val="00B82E02"/>
    <w:rsid w:val="00B82F75"/>
    <w:rsid w:val="00B83646"/>
    <w:rsid w:val="00B8393B"/>
    <w:rsid w:val="00B8450A"/>
    <w:rsid w:val="00B84528"/>
    <w:rsid w:val="00B85002"/>
    <w:rsid w:val="00B85605"/>
    <w:rsid w:val="00B85EC3"/>
    <w:rsid w:val="00B86469"/>
    <w:rsid w:val="00B87ECD"/>
    <w:rsid w:val="00B910B8"/>
    <w:rsid w:val="00B9180A"/>
    <w:rsid w:val="00B91943"/>
    <w:rsid w:val="00B92201"/>
    <w:rsid w:val="00B92E54"/>
    <w:rsid w:val="00B93DDC"/>
    <w:rsid w:val="00B95C15"/>
    <w:rsid w:val="00B960B5"/>
    <w:rsid w:val="00B9647A"/>
    <w:rsid w:val="00BA0246"/>
    <w:rsid w:val="00BA05B5"/>
    <w:rsid w:val="00BA1F3E"/>
    <w:rsid w:val="00BA3928"/>
    <w:rsid w:val="00BA5213"/>
    <w:rsid w:val="00BA6158"/>
    <w:rsid w:val="00BA7923"/>
    <w:rsid w:val="00BB0435"/>
    <w:rsid w:val="00BB0B3E"/>
    <w:rsid w:val="00BB146F"/>
    <w:rsid w:val="00BB27F1"/>
    <w:rsid w:val="00BB2F79"/>
    <w:rsid w:val="00BB30B7"/>
    <w:rsid w:val="00BB3223"/>
    <w:rsid w:val="00BB3F6A"/>
    <w:rsid w:val="00BB71C1"/>
    <w:rsid w:val="00BC09DD"/>
    <w:rsid w:val="00BC146C"/>
    <w:rsid w:val="00BC174F"/>
    <w:rsid w:val="00BC25EA"/>
    <w:rsid w:val="00BC3030"/>
    <w:rsid w:val="00BC4490"/>
    <w:rsid w:val="00BC5D64"/>
    <w:rsid w:val="00BC63FF"/>
    <w:rsid w:val="00BC6B72"/>
    <w:rsid w:val="00BC6DED"/>
    <w:rsid w:val="00BC75EF"/>
    <w:rsid w:val="00BD1101"/>
    <w:rsid w:val="00BD16A9"/>
    <w:rsid w:val="00BD1BCD"/>
    <w:rsid w:val="00BD307D"/>
    <w:rsid w:val="00BD30CA"/>
    <w:rsid w:val="00BD32CB"/>
    <w:rsid w:val="00BD4D8D"/>
    <w:rsid w:val="00BD56C2"/>
    <w:rsid w:val="00BD5EDD"/>
    <w:rsid w:val="00BE0805"/>
    <w:rsid w:val="00BE1583"/>
    <w:rsid w:val="00BE185A"/>
    <w:rsid w:val="00BE1B29"/>
    <w:rsid w:val="00BE213C"/>
    <w:rsid w:val="00BE2E7F"/>
    <w:rsid w:val="00BE3CAD"/>
    <w:rsid w:val="00BE46C6"/>
    <w:rsid w:val="00BE481C"/>
    <w:rsid w:val="00BE4DFF"/>
    <w:rsid w:val="00BE524F"/>
    <w:rsid w:val="00BE5274"/>
    <w:rsid w:val="00BE54CF"/>
    <w:rsid w:val="00BE5B3D"/>
    <w:rsid w:val="00BE67CD"/>
    <w:rsid w:val="00BE6B22"/>
    <w:rsid w:val="00BE7A8B"/>
    <w:rsid w:val="00BE7E49"/>
    <w:rsid w:val="00BF0283"/>
    <w:rsid w:val="00BF0426"/>
    <w:rsid w:val="00BF0912"/>
    <w:rsid w:val="00BF0A44"/>
    <w:rsid w:val="00BF1246"/>
    <w:rsid w:val="00BF36A3"/>
    <w:rsid w:val="00BF3793"/>
    <w:rsid w:val="00BF4181"/>
    <w:rsid w:val="00BF4616"/>
    <w:rsid w:val="00BF4708"/>
    <w:rsid w:val="00BF47A6"/>
    <w:rsid w:val="00BF4B45"/>
    <w:rsid w:val="00BF5286"/>
    <w:rsid w:val="00BF5546"/>
    <w:rsid w:val="00BF5AC3"/>
    <w:rsid w:val="00BF6003"/>
    <w:rsid w:val="00BF6169"/>
    <w:rsid w:val="00BF627F"/>
    <w:rsid w:val="00BF7133"/>
    <w:rsid w:val="00BF7993"/>
    <w:rsid w:val="00C00119"/>
    <w:rsid w:val="00C0028F"/>
    <w:rsid w:val="00C029CA"/>
    <w:rsid w:val="00C03AAE"/>
    <w:rsid w:val="00C03D4A"/>
    <w:rsid w:val="00C04A17"/>
    <w:rsid w:val="00C04C6E"/>
    <w:rsid w:val="00C05053"/>
    <w:rsid w:val="00C0581E"/>
    <w:rsid w:val="00C059F1"/>
    <w:rsid w:val="00C05D25"/>
    <w:rsid w:val="00C06414"/>
    <w:rsid w:val="00C0675E"/>
    <w:rsid w:val="00C10B4D"/>
    <w:rsid w:val="00C10CAB"/>
    <w:rsid w:val="00C11EF7"/>
    <w:rsid w:val="00C12C86"/>
    <w:rsid w:val="00C140C7"/>
    <w:rsid w:val="00C15987"/>
    <w:rsid w:val="00C1620F"/>
    <w:rsid w:val="00C17EFF"/>
    <w:rsid w:val="00C20903"/>
    <w:rsid w:val="00C23841"/>
    <w:rsid w:val="00C23AAB"/>
    <w:rsid w:val="00C24032"/>
    <w:rsid w:val="00C24ECC"/>
    <w:rsid w:val="00C25C1A"/>
    <w:rsid w:val="00C25CDD"/>
    <w:rsid w:val="00C26AD4"/>
    <w:rsid w:val="00C26E32"/>
    <w:rsid w:val="00C26E5C"/>
    <w:rsid w:val="00C27FEF"/>
    <w:rsid w:val="00C300D9"/>
    <w:rsid w:val="00C3023C"/>
    <w:rsid w:val="00C30498"/>
    <w:rsid w:val="00C31CDD"/>
    <w:rsid w:val="00C32648"/>
    <w:rsid w:val="00C3288F"/>
    <w:rsid w:val="00C350D0"/>
    <w:rsid w:val="00C354C2"/>
    <w:rsid w:val="00C35588"/>
    <w:rsid w:val="00C355F5"/>
    <w:rsid w:val="00C36518"/>
    <w:rsid w:val="00C36D0E"/>
    <w:rsid w:val="00C376F5"/>
    <w:rsid w:val="00C37805"/>
    <w:rsid w:val="00C409DD"/>
    <w:rsid w:val="00C44C42"/>
    <w:rsid w:val="00C455E0"/>
    <w:rsid w:val="00C45A89"/>
    <w:rsid w:val="00C45E5B"/>
    <w:rsid w:val="00C46DA0"/>
    <w:rsid w:val="00C46EEC"/>
    <w:rsid w:val="00C472DE"/>
    <w:rsid w:val="00C47386"/>
    <w:rsid w:val="00C47B87"/>
    <w:rsid w:val="00C50443"/>
    <w:rsid w:val="00C521D6"/>
    <w:rsid w:val="00C528D8"/>
    <w:rsid w:val="00C52EF6"/>
    <w:rsid w:val="00C54184"/>
    <w:rsid w:val="00C55B26"/>
    <w:rsid w:val="00C5648E"/>
    <w:rsid w:val="00C56798"/>
    <w:rsid w:val="00C56C16"/>
    <w:rsid w:val="00C5710E"/>
    <w:rsid w:val="00C578CF"/>
    <w:rsid w:val="00C600F2"/>
    <w:rsid w:val="00C60C30"/>
    <w:rsid w:val="00C60ED5"/>
    <w:rsid w:val="00C61793"/>
    <w:rsid w:val="00C61D46"/>
    <w:rsid w:val="00C62281"/>
    <w:rsid w:val="00C6296F"/>
    <w:rsid w:val="00C6302E"/>
    <w:rsid w:val="00C63FD9"/>
    <w:rsid w:val="00C64497"/>
    <w:rsid w:val="00C6504F"/>
    <w:rsid w:val="00C65221"/>
    <w:rsid w:val="00C661D8"/>
    <w:rsid w:val="00C66583"/>
    <w:rsid w:val="00C66791"/>
    <w:rsid w:val="00C66BCE"/>
    <w:rsid w:val="00C673C9"/>
    <w:rsid w:val="00C67623"/>
    <w:rsid w:val="00C67D89"/>
    <w:rsid w:val="00C70413"/>
    <w:rsid w:val="00C70E87"/>
    <w:rsid w:val="00C72092"/>
    <w:rsid w:val="00C7249A"/>
    <w:rsid w:val="00C7264A"/>
    <w:rsid w:val="00C7422E"/>
    <w:rsid w:val="00C7470A"/>
    <w:rsid w:val="00C750EE"/>
    <w:rsid w:val="00C75BDC"/>
    <w:rsid w:val="00C76760"/>
    <w:rsid w:val="00C769C6"/>
    <w:rsid w:val="00C77399"/>
    <w:rsid w:val="00C778F2"/>
    <w:rsid w:val="00C77E10"/>
    <w:rsid w:val="00C8025C"/>
    <w:rsid w:val="00C8069D"/>
    <w:rsid w:val="00C80983"/>
    <w:rsid w:val="00C80AC3"/>
    <w:rsid w:val="00C840CE"/>
    <w:rsid w:val="00C84C0C"/>
    <w:rsid w:val="00C84C55"/>
    <w:rsid w:val="00C84E68"/>
    <w:rsid w:val="00C85427"/>
    <w:rsid w:val="00C868F5"/>
    <w:rsid w:val="00C90060"/>
    <w:rsid w:val="00C9055D"/>
    <w:rsid w:val="00C90EC2"/>
    <w:rsid w:val="00C91C68"/>
    <w:rsid w:val="00C91EEA"/>
    <w:rsid w:val="00C926AF"/>
    <w:rsid w:val="00C94396"/>
    <w:rsid w:val="00C9490A"/>
    <w:rsid w:val="00C96149"/>
    <w:rsid w:val="00C97271"/>
    <w:rsid w:val="00CA031C"/>
    <w:rsid w:val="00CA0926"/>
    <w:rsid w:val="00CA29B8"/>
    <w:rsid w:val="00CA2CE3"/>
    <w:rsid w:val="00CA5B35"/>
    <w:rsid w:val="00CA7DF6"/>
    <w:rsid w:val="00CB03F6"/>
    <w:rsid w:val="00CB09BF"/>
    <w:rsid w:val="00CB24E1"/>
    <w:rsid w:val="00CB2779"/>
    <w:rsid w:val="00CB3EBB"/>
    <w:rsid w:val="00CB40C9"/>
    <w:rsid w:val="00CB4B2A"/>
    <w:rsid w:val="00CB50D9"/>
    <w:rsid w:val="00CB5128"/>
    <w:rsid w:val="00CB65CD"/>
    <w:rsid w:val="00CB68D2"/>
    <w:rsid w:val="00CB6D50"/>
    <w:rsid w:val="00CC1E53"/>
    <w:rsid w:val="00CC341F"/>
    <w:rsid w:val="00CC34DF"/>
    <w:rsid w:val="00CC3A20"/>
    <w:rsid w:val="00CC504C"/>
    <w:rsid w:val="00CC5AB4"/>
    <w:rsid w:val="00CC67E5"/>
    <w:rsid w:val="00CC6E5F"/>
    <w:rsid w:val="00CC7734"/>
    <w:rsid w:val="00CC7775"/>
    <w:rsid w:val="00CC7EAE"/>
    <w:rsid w:val="00CD0D42"/>
    <w:rsid w:val="00CD0D93"/>
    <w:rsid w:val="00CD27A8"/>
    <w:rsid w:val="00CD2F82"/>
    <w:rsid w:val="00CD459D"/>
    <w:rsid w:val="00CD659C"/>
    <w:rsid w:val="00CD6D96"/>
    <w:rsid w:val="00CD7329"/>
    <w:rsid w:val="00CD757A"/>
    <w:rsid w:val="00CD75B7"/>
    <w:rsid w:val="00CE0BC2"/>
    <w:rsid w:val="00CE146E"/>
    <w:rsid w:val="00CE2DF4"/>
    <w:rsid w:val="00CE3CC3"/>
    <w:rsid w:val="00CE5191"/>
    <w:rsid w:val="00CE5506"/>
    <w:rsid w:val="00CE62B9"/>
    <w:rsid w:val="00CE735A"/>
    <w:rsid w:val="00CE77BF"/>
    <w:rsid w:val="00CE7D0C"/>
    <w:rsid w:val="00CF003E"/>
    <w:rsid w:val="00CF258E"/>
    <w:rsid w:val="00CF3AE6"/>
    <w:rsid w:val="00CF3F1D"/>
    <w:rsid w:val="00CF49FF"/>
    <w:rsid w:val="00CF4B8B"/>
    <w:rsid w:val="00CF5204"/>
    <w:rsid w:val="00CF52E2"/>
    <w:rsid w:val="00CF5373"/>
    <w:rsid w:val="00CF59EA"/>
    <w:rsid w:val="00CF6816"/>
    <w:rsid w:val="00D010C2"/>
    <w:rsid w:val="00D01725"/>
    <w:rsid w:val="00D0410B"/>
    <w:rsid w:val="00D04987"/>
    <w:rsid w:val="00D05E16"/>
    <w:rsid w:val="00D07C18"/>
    <w:rsid w:val="00D10856"/>
    <w:rsid w:val="00D11630"/>
    <w:rsid w:val="00D13187"/>
    <w:rsid w:val="00D137E2"/>
    <w:rsid w:val="00D14C31"/>
    <w:rsid w:val="00D14CF1"/>
    <w:rsid w:val="00D15176"/>
    <w:rsid w:val="00D15CFE"/>
    <w:rsid w:val="00D15E27"/>
    <w:rsid w:val="00D16625"/>
    <w:rsid w:val="00D17080"/>
    <w:rsid w:val="00D205E9"/>
    <w:rsid w:val="00D20C29"/>
    <w:rsid w:val="00D2113E"/>
    <w:rsid w:val="00D214CC"/>
    <w:rsid w:val="00D21933"/>
    <w:rsid w:val="00D21E9F"/>
    <w:rsid w:val="00D22AE8"/>
    <w:rsid w:val="00D239A9"/>
    <w:rsid w:val="00D24779"/>
    <w:rsid w:val="00D251F3"/>
    <w:rsid w:val="00D3009C"/>
    <w:rsid w:val="00D300DE"/>
    <w:rsid w:val="00D30437"/>
    <w:rsid w:val="00D304F5"/>
    <w:rsid w:val="00D305DD"/>
    <w:rsid w:val="00D31A3D"/>
    <w:rsid w:val="00D31B11"/>
    <w:rsid w:val="00D323B6"/>
    <w:rsid w:val="00D33A6E"/>
    <w:rsid w:val="00D342DD"/>
    <w:rsid w:val="00D34EF2"/>
    <w:rsid w:val="00D353F3"/>
    <w:rsid w:val="00D36020"/>
    <w:rsid w:val="00D3647A"/>
    <w:rsid w:val="00D367B5"/>
    <w:rsid w:val="00D36D09"/>
    <w:rsid w:val="00D4003C"/>
    <w:rsid w:val="00D4063F"/>
    <w:rsid w:val="00D40ACE"/>
    <w:rsid w:val="00D42380"/>
    <w:rsid w:val="00D43341"/>
    <w:rsid w:val="00D43996"/>
    <w:rsid w:val="00D44274"/>
    <w:rsid w:val="00D45C9F"/>
    <w:rsid w:val="00D45ED7"/>
    <w:rsid w:val="00D5031F"/>
    <w:rsid w:val="00D50D35"/>
    <w:rsid w:val="00D5143A"/>
    <w:rsid w:val="00D51F10"/>
    <w:rsid w:val="00D5235E"/>
    <w:rsid w:val="00D534EF"/>
    <w:rsid w:val="00D535CA"/>
    <w:rsid w:val="00D53C98"/>
    <w:rsid w:val="00D541C7"/>
    <w:rsid w:val="00D5571D"/>
    <w:rsid w:val="00D5682F"/>
    <w:rsid w:val="00D57465"/>
    <w:rsid w:val="00D57C00"/>
    <w:rsid w:val="00D6097C"/>
    <w:rsid w:val="00D627D5"/>
    <w:rsid w:val="00D62836"/>
    <w:rsid w:val="00D62F29"/>
    <w:rsid w:val="00D63B6D"/>
    <w:rsid w:val="00D63C07"/>
    <w:rsid w:val="00D63DCE"/>
    <w:rsid w:val="00D65181"/>
    <w:rsid w:val="00D6530A"/>
    <w:rsid w:val="00D656F8"/>
    <w:rsid w:val="00D65D6D"/>
    <w:rsid w:val="00D660AB"/>
    <w:rsid w:val="00D68C6B"/>
    <w:rsid w:val="00D70B7B"/>
    <w:rsid w:val="00D713AD"/>
    <w:rsid w:val="00D7246D"/>
    <w:rsid w:val="00D727AF"/>
    <w:rsid w:val="00D72C5A"/>
    <w:rsid w:val="00D72D56"/>
    <w:rsid w:val="00D73CAD"/>
    <w:rsid w:val="00D73EB8"/>
    <w:rsid w:val="00D741B9"/>
    <w:rsid w:val="00D74224"/>
    <w:rsid w:val="00D74718"/>
    <w:rsid w:val="00D74D77"/>
    <w:rsid w:val="00D75452"/>
    <w:rsid w:val="00D75A74"/>
    <w:rsid w:val="00D75B21"/>
    <w:rsid w:val="00D7628D"/>
    <w:rsid w:val="00D76A97"/>
    <w:rsid w:val="00D774EA"/>
    <w:rsid w:val="00D77BA3"/>
    <w:rsid w:val="00D80A31"/>
    <w:rsid w:val="00D80BA4"/>
    <w:rsid w:val="00D814C6"/>
    <w:rsid w:val="00D82085"/>
    <w:rsid w:val="00D8256B"/>
    <w:rsid w:val="00D83624"/>
    <w:rsid w:val="00D8396A"/>
    <w:rsid w:val="00D83AE4"/>
    <w:rsid w:val="00D83BD8"/>
    <w:rsid w:val="00D84EFD"/>
    <w:rsid w:val="00D8554B"/>
    <w:rsid w:val="00D8566F"/>
    <w:rsid w:val="00D85D17"/>
    <w:rsid w:val="00D85F2E"/>
    <w:rsid w:val="00D871CB"/>
    <w:rsid w:val="00D87799"/>
    <w:rsid w:val="00D9086F"/>
    <w:rsid w:val="00D91229"/>
    <w:rsid w:val="00D920F8"/>
    <w:rsid w:val="00D92579"/>
    <w:rsid w:val="00D9344F"/>
    <w:rsid w:val="00D93B55"/>
    <w:rsid w:val="00D942A6"/>
    <w:rsid w:val="00D94497"/>
    <w:rsid w:val="00D94508"/>
    <w:rsid w:val="00D9545A"/>
    <w:rsid w:val="00D965DD"/>
    <w:rsid w:val="00D968C7"/>
    <w:rsid w:val="00D96A55"/>
    <w:rsid w:val="00D9768A"/>
    <w:rsid w:val="00DA0730"/>
    <w:rsid w:val="00DA07AB"/>
    <w:rsid w:val="00DA2641"/>
    <w:rsid w:val="00DA2C3B"/>
    <w:rsid w:val="00DA4A1C"/>
    <w:rsid w:val="00DA4B61"/>
    <w:rsid w:val="00DA562D"/>
    <w:rsid w:val="00DA588E"/>
    <w:rsid w:val="00DA77EB"/>
    <w:rsid w:val="00DB11AD"/>
    <w:rsid w:val="00DB1A23"/>
    <w:rsid w:val="00DB2B1F"/>
    <w:rsid w:val="00DB377E"/>
    <w:rsid w:val="00DB38B7"/>
    <w:rsid w:val="00DB3D31"/>
    <w:rsid w:val="00DB5084"/>
    <w:rsid w:val="00DB6DCD"/>
    <w:rsid w:val="00DC2968"/>
    <w:rsid w:val="00DC33D4"/>
    <w:rsid w:val="00DC35B8"/>
    <w:rsid w:val="00DC3CE7"/>
    <w:rsid w:val="00DC401D"/>
    <w:rsid w:val="00DC48CF"/>
    <w:rsid w:val="00DC5228"/>
    <w:rsid w:val="00DC587A"/>
    <w:rsid w:val="00DC58ED"/>
    <w:rsid w:val="00DC5FE2"/>
    <w:rsid w:val="00DC69B3"/>
    <w:rsid w:val="00DC72E7"/>
    <w:rsid w:val="00DC7F3D"/>
    <w:rsid w:val="00DD092C"/>
    <w:rsid w:val="00DD11F4"/>
    <w:rsid w:val="00DD1CF6"/>
    <w:rsid w:val="00DD25F0"/>
    <w:rsid w:val="00DD2EA2"/>
    <w:rsid w:val="00DD3636"/>
    <w:rsid w:val="00DD392D"/>
    <w:rsid w:val="00DD4B78"/>
    <w:rsid w:val="00DD5B07"/>
    <w:rsid w:val="00DD60DC"/>
    <w:rsid w:val="00DD621E"/>
    <w:rsid w:val="00DD7428"/>
    <w:rsid w:val="00DE015D"/>
    <w:rsid w:val="00DE0482"/>
    <w:rsid w:val="00DE068C"/>
    <w:rsid w:val="00DE2655"/>
    <w:rsid w:val="00DE2A60"/>
    <w:rsid w:val="00DE3213"/>
    <w:rsid w:val="00DE3785"/>
    <w:rsid w:val="00DE3A1D"/>
    <w:rsid w:val="00DE409C"/>
    <w:rsid w:val="00DE48B7"/>
    <w:rsid w:val="00DE4BC4"/>
    <w:rsid w:val="00DE5034"/>
    <w:rsid w:val="00DE55FF"/>
    <w:rsid w:val="00DE60E8"/>
    <w:rsid w:val="00DE65E5"/>
    <w:rsid w:val="00DE66B7"/>
    <w:rsid w:val="00DE6969"/>
    <w:rsid w:val="00DF173C"/>
    <w:rsid w:val="00DF358F"/>
    <w:rsid w:val="00DF3D99"/>
    <w:rsid w:val="00DF4AD9"/>
    <w:rsid w:val="00DF4E11"/>
    <w:rsid w:val="00DF554A"/>
    <w:rsid w:val="00DF589E"/>
    <w:rsid w:val="00DF5ADF"/>
    <w:rsid w:val="00DF5B87"/>
    <w:rsid w:val="00DF74C2"/>
    <w:rsid w:val="00DF7B93"/>
    <w:rsid w:val="00E00497"/>
    <w:rsid w:val="00E00F60"/>
    <w:rsid w:val="00E01613"/>
    <w:rsid w:val="00E020AC"/>
    <w:rsid w:val="00E020E2"/>
    <w:rsid w:val="00E021FD"/>
    <w:rsid w:val="00E025FC"/>
    <w:rsid w:val="00E032A8"/>
    <w:rsid w:val="00E03DAF"/>
    <w:rsid w:val="00E049A0"/>
    <w:rsid w:val="00E0527A"/>
    <w:rsid w:val="00E0596E"/>
    <w:rsid w:val="00E05DAA"/>
    <w:rsid w:val="00E06269"/>
    <w:rsid w:val="00E06523"/>
    <w:rsid w:val="00E070D4"/>
    <w:rsid w:val="00E07747"/>
    <w:rsid w:val="00E107F0"/>
    <w:rsid w:val="00E109BC"/>
    <w:rsid w:val="00E11868"/>
    <w:rsid w:val="00E11A51"/>
    <w:rsid w:val="00E11DC1"/>
    <w:rsid w:val="00E11DEE"/>
    <w:rsid w:val="00E1417D"/>
    <w:rsid w:val="00E14664"/>
    <w:rsid w:val="00E14F64"/>
    <w:rsid w:val="00E17034"/>
    <w:rsid w:val="00E1765A"/>
    <w:rsid w:val="00E17776"/>
    <w:rsid w:val="00E177FF"/>
    <w:rsid w:val="00E2096F"/>
    <w:rsid w:val="00E21E27"/>
    <w:rsid w:val="00E22B94"/>
    <w:rsid w:val="00E23B00"/>
    <w:rsid w:val="00E23C07"/>
    <w:rsid w:val="00E244F6"/>
    <w:rsid w:val="00E25E8A"/>
    <w:rsid w:val="00E26342"/>
    <w:rsid w:val="00E26581"/>
    <w:rsid w:val="00E2698C"/>
    <w:rsid w:val="00E273B8"/>
    <w:rsid w:val="00E30B5A"/>
    <w:rsid w:val="00E33329"/>
    <w:rsid w:val="00E35D2C"/>
    <w:rsid w:val="00E3668E"/>
    <w:rsid w:val="00E36FD7"/>
    <w:rsid w:val="00E41716"/>
    <w:rsid w:val="00E417C2"/>
    <w:rsid w:val="00E419B0"/>
    <w:rsid w:val="00E42396"/>
    <w:rsid w:val="00E42935"/>
    <w:rsid w:val="00E42BB2"/>
    <w:rsid w:val="00E42CFC"/>
    <w:rsid w:val="00E434E7"/>
    <w:rsid w:val="00E443C1"/>
    <w:rsid w:val="00E44D6B"/>
    <w:rsid w:val="00E45647"/>
    <w:rsid w:val="00E45850"/>
    <w:rsid w:val="00E46474"/>
    <w:rsid w:val="00E47074"/>
    <w:rsid w:val="00E472FA"/>
    <w:rsid w:val="00E505D8"/>
    <w:rsid w:val="00E535B7"/>
    <w:rsid w:val="00E53FCA"/>
    <w:rsid w:val="00E54BB3"/>
    <w:rsid w:val="00E54ED0"/>
    <w:rsid w:val="00E55268"/>
    <w:rsid w:val="00E55873"/>
    <w:rsid w:val="00E55FA1"/>
    <w:rsid w:val="00E564F5"/>
    <w:rsid w:val="00E56658"/>
    <w:rsid w:val="00E602D8"/>
    <w:rsid w:val="00E60481"/>
    <w:rsid w:val="00E60B38"/>
    <w:rsid w:val="00E60E3D"/>
    <w:rsid w:val="00E627A8"/>
    <w:rsid w:val="00E6281F"/>
    <w:rsid w:val="00E62A67"/>
    <w:rsid w:val="00E62EBD"/>
    <w:rsid w:val="00E63EDF"/>
    <w:rsid w:val="00E63EF9"/>
    <w:rsid w:val="00E651E0"/>
    <w:rsid w:val="00E65F1E"/>
    <w:rsid w:val="00E7005C"/>
    <w:rsid w:val="00E715BE"/>
    <w:rsid w:val="00E728E1"/>
    <w:rsid w:val="00E728F0"/>
    <w:rsid w:val="00E72A40"/>
    <w:rsid w:val="00E736E0"/>
    <w:rsid w:val="00E74508"/>
    <w:rsid w:val="00E74CEA"/>
    <w:rsid w:val="00E750BC"/>
    <w:rsid w:val="00E7646B"/>
    <w:rsid w:val="00E76836"/>
    <w:rsid w:val="00E76DD2"/>
    <w:rsid w:val="00E76F3F"/>
    <w:rsid w:val="00E77083"/>
    <w:rsid w:val="00E8068A"/>
    <w:rsid w:val="00E80D32"/>
    <w:rsid w:val="00E80DC4"/>
    <w:rsid w:val="00E81149"/>
    <w:rsid w:val="00E81D97"/>
    <w:rsid w:val="00E84092"/>
    <w:rsid w:val="00E8431C"/>
    <w:rsid w:val="00E8499F"/>
    <w:rsid w:val="00E8538B"/>
    <w:rsid w:val="00E8554D"/>
    <w:rsid w:val="00E862E4"/>
    <w:rsid w:val="00E87154"/>
    <w:rsid w:val="00E87525"/>
    <w:rsid w:val="00E92EF5"/>
    <w:rsid w:val="00E93812"/>
    <w:rsid w:val="00E93C1C"/>
    <w:rsid w:val="00E9486E"/>
    <w:rsid w:val="00E94C19"/>
    <w:rsid w:val="00E974DD"/>
    <w:rsid w:val="00E97E2B"/>
    <w:rsid w:val="00E97F59"/>
    <w:rsid w:val="00EA17EA"/>
    <w:rsid w:val="00EA1C59"/>
    <w:rsid w:val="00EA2FE8"/>
    <w:rsid w:val="00EA356A"/>
    <w:rsid w:val="00EA35BC"/>
    <w:rsid w:val="00EA3D8E"/>
    <w:rsid w:val="00EA5934"/>
    <w:rsid w:val="00EA75DE"/>
    <w:rsid w:val="00EB04A7"/>
    <w:rsid w:val="00EB09AD"/>
    <w:rsid w:val="00EB10D5"/>
    <w:rsid w:val="00EB139A"/>
    <w:rsid w:val="00EB275F"/>
    <w:rsid w:val="00EB2904"/>
    <w:rsid w:val="00EB45DC"/>
    <w:rsid w:val="00EB464A"/>
    <w:rsid w:val="00EB46ED"/>
    <w:rsid w:val="00EB5218"/>
    <w:rsid w:val="00EB5409"/>
    <w:rsid w:val="00EB5CF9"/>
    <w:rsid w:val="00EB5ED8"/>
    <w:rsid w:val="00EB60A4"/>
    <w:rsid w:val="00EB61BC"/>
    <w:rsid w:val="00EC016C"/>
    <w:rsid w:val="00EC0B80"/>
    <w:rsid w:val="00EC2096"/>
    <w:rsid w:val="00EC2507"/>
    <w:rsid w:val="00EC346C"/>
    <w:rsid w:val="00EC4438"/>
    <w:rsid w:val="00EC607B"/>
    <w:rsid w:val="00EC64E2"/>
    <w:rsid w:val="00ED0C26"/>
    <w:rsid w:val="00ED0EF8"/>
    <w:rsid w:val="00ED1811"/>
    <w:rsid w:val="00ED1955"/>
    <w:rsid w:val="00ED1E5C"/>
    <w:rsid w:val="00ED2C52"/>
    <w:rsid w:val="00ED3018"/>
    <w:rsid w:val="00ED44F4"/>
    <w:rsid w:val="00ED46FD"/>
    <w:rsid w:val="00ED5268"/>
    <w:rsid w:val="00ED556B"/>
    <w:rsid w:val="00ED6C46"/>
    <w:rsid w:val="00ED7620"/>
    <w:rsid w:val="00ED7852"/>
    <w:rsid w:val="00EE0F9B"/>
    <w:rsid w:val="00EE1A9E"/>
    <w:rsid w:val="00EE2355"/>
    <w:rsid w:val="00EE2774"/>
    <w:rsid w:val="00EE27F3"/>
    <w:rsid w:val="00EE2FBE"/>
    <w:rsid w:val="00EE391E"/>
    <w:rsid w:val="00EE3A2D"/>
    <w:rsid w:val="00EE40E5"/>
    <w:rsid w:val="00EE4175"/>
    <w:rsid w:val="00EE4382"/>
    <w:rsid w:val="00EE4502"/>
    <w:rsid w:val="00EE4AA7"/>
    <w:rsid w:val="00EE5488"/>
    <w:rsid w:val="00EE6DB0"/>
    <w:rsid w:val="00EE6F44"/>
    <w:rsid w:val="00EF3D52"/>
    <w:rsid w:val="00EF40BD"/>
    <w:rsid w:val="00EF4469"/>
    <w:rsid w:val="00EF4700"/>
    <w:rsid w:val="00EF58FE"/>
    <w:rsid w:val="00EF6359"/>
    <w:rsid w:val="00EF6D2C"/>
    <w:rsid w:val="00EF7362"/>
    <w:rsid w:val="00F00075"/>
    <w:rsid w:val="00F006A1"/>
    <w:rsid w:val="00F00A29"/>
    <w:rsid w:val="00F00CFC"/>
    <w:rsid w:val="00F023E8"/>
    <w:rsid w:val="00F027FA"/>
    <w:rsid w:val="00F02A29"/>
    <w:rsid w:val="00F035C1"/>
    <w:rsid w:val="00F039C1"/>
    <w:rsid w:val="00F03B0C"/>
    <w:rsid w:val="00F047E7"/>
    <w:rsid w:val="00F049C2"/>
    <w:rsid w:val="00F04A63"/>
    <w:rsid w:val="00F05332"/>
    <w:rsid w:val="00F06C64"/>
    <w:rsid w:val="00F075D7"/>
    <w:rsid w:val="00F10806"/>
    <w:rsid w:val="00F1195F"/>
    <w:rsid w:val="00F1269E"/>
    <w:rsid w:val="00F12B62"/>
    <w:rsid w:val="00F1429A"/>
    <w:rsid w:val="00F143D9"/>
    <w:rsid w:val="00F14722"/>
    <w:rsid w:val="00F1592D"/>
    <w:rsid w:val="00F15E72"/>
    <w:rsid w:val="00F16B08"/>
    <w:rsid w:val="00F17378"/>
    <w:rsid w:val="00F17B78"/>
    <w:rsid w:val="00F17D99"/>
    <w:rsid w:val="00F211A0"/>
    <w:rsid w:val="00F21762"/>
    <w:rsid w:val="00F21D7B"/>
    <w:rsid w:val="00F21F1D"/>
    <w:rsid w:val="00F221B3"/>
    <w:rsid w:val="00F22AAA"/>
    <w:rsid w:val="00F23CA8"/>
    <w:rsid w:val="00F24E14"/>
    <w:rsid w:val="00F24E47"/>
    <w:rsid w:val="00F24E73"/>
    <w:rsid w:val="00F264FC"/>
    <w:rsid w:val="00F26FFE"/>
    <w:rsid w:val="00F2707E"/>
    <w:rsid w:val="00F2748D"/>
    <w:rsid w:val="00F30AFA"/>
    <w:rsid w:val="00F30DB2"/>
    <w:rsid w:val="00F3167F"/>
    <w:rsid w:val="00F31BB4"/>
    <w:rsid w:val="00F329AD"/>
    <w:rsid w:val="00F32AD3"/>
    <w:rsid w:val="00F3620E"/>
    <w:rsid w:val="00F37B7B"/>
    <w:rsid w:val="00F405FE"/>
    <w:rsid w:val="00F40C42"/>
    <w:rsid w:val="00F41E4A"/>
    <w:rsid w:val="00F41FA1"/>
    <w:rsid w:val="00F43457"/>
    <w:rsid w:val="00F44391"/>
    <w:rsid w:val="00F44610"/>
    <w:rsid w:val="00F458C6"/>
    <w:rsid w:val="00F45A7B"/>
    <w:rsid w:val="00F479AC"/>
    <w:rsid w:val="00F47A4C"/>
    <w:rsid w:val="00F47C63"/>
    <w:rsid w:val="00F505E5"/>
    <w:rsid w:val="00F507FA"/>
    <w:rsid w:val="00F50CDE"/>
    <w:rsid w:val="00F512FB"/>
    <w:rsid w:val="00F5166F"/>
    <w:rsid w:val="00F5188F"/>
    <w:rsid w:val="00F51CF6"/>
    <w:rsid w:val="00F52A0F"/>
    <w:rsid w:val="00F52E94"/>
    <w:rsid w:val="00F538ED"/>
    <w:rsid w:val="00F53C78"/>
    <w:rsid w:val="00F54B24"/>
    <w:rsid w:val="00F54B31"/>
    <w:rsid w:val="00F54C16"/>
    <w:rsid w:val="00F55005"/>
    <w:rsid w:val="00F55E57"/>
    <w:rsid w:val="00F56420"/>
    <w:rsid w:val="00F60009"/>
    <w:rsid w:val="00F61C3D"/>
    <w:rsid w:val="00F620C3"/>
    <w:rsid w:val="00F625C0"/>
    <w:rsid w:val="00F63C3E"/>
    <w:rsid w:val="00F63C81"/>
    <w:rsid w:val="00F640DE"/>
    <w:rsid w:val="00F64307"/>
    <w:rsid w:val="00F647E4"/>
    <w:rsid w:val="00F65A20"/>
    <w:rsid w:val="00F67BBE"/>
    <w:rsid w:val="00F67C77"/>
    <w:rsid w:val="00F706CE"/>
    <w:rsid w:val="00F70D82"/>
    <w:rsid w:val="00F71152"/>
    <w:rsid w:val="00F7196B"/>
    <w:rsid w:val="00F72944"/>
    <w:rsid w:val="00F72B1C"/>
    <w:rsid w:val="00F74428"/>
    <w:rsid w:val="00F75F96"/>
    <w:rsid w:val="00F76106"/>
    <w:rsid w:val="00F76F0A"/>
    <w:rsid w:val="00F76FEC"/>
    <w:rsid w:val="00F8002C"/>
    <w:rsid w:val="00F80147"/>
    <w:rsid w:val="00F80593"/>
    <w:rsid w:val="00F80BA3"/>
    <w:rsid w:val="00F80DB6"/>
    <w:rsid w:val="00F8140C"/>
    <w:rsid w:val="00F819F5"/>
    <w:rsid w:val="00F821C5"/>
    <w:rsid w:val="00F8270B"/>
    <w:rsid w:val="00F85E92"/>
    <w:rsid w:val="00F85F4F"/>
    <w:rsid w:val="00F86042"/>
    <w:rsid w:val="00F87B55"/>
    <w:rsid w:val="00F92DB2"/>
    <w:rsid w:val="00F93C3F"/>
    <w:rsid w:val="00F9475F"/>
    <w:rsid w:val="00F95482"/>
    <w:rsid w:val="00F95645"/>
    <w:rsid w:val="00F967D8"/>
    <w:rsid w:val="00F96E1A"/>
    <w:rsid w:val="00FA0136"/>
    <w:rsid w:val="00FA088D"/>
    <w:rsid w:val="00FA0BCD"/>
    <w:rsid w:val="00FA1758"/>
    <w:rsid w:val="00FA1A15"/>
    <w:rsid w:val="00FA1BEC"/>
    <w:rsid w:val="00FA2526"/>
    <w:rsid w:val="00FA2F3D"/>
    <w:rsid w:val="00FA3226"/>
    <w:rsid w:val="00FA41CA"/>
    <w:rsid w:val="00FA424A"/>
    <w:rsid w:val="00FA5928"/>
    <w:rsid w:val="00FA5B5B"/>
    <w:rsid w:val="00FA603F"/>
    <w:rsid w:val="00FA6850"/>
    <w:rsid w:val="00FA69F4"/>
    <w:rsid w:val="00FB17F6"/>
    <w:rsid w:val="00FB2660"/>
    <w:rsid w:val="00FB2F84"/>
    <w:rsid w:val="00FB46BE"/>
    <w:rsid w:val="00FB560D"/>
    <w:rsid w:val="00FB7E20"/>
    <w:rsid w:val="00FC0B40"/>
    <w:rsid w:val="00FC0F7C"/>
    <w:rsid w:val="00FC28D9"/>
    <w:rsid w:val="00FC2ED0"/>
    <w:rsid w:val="00FC2ED3"/>
    <w:rsid w:val="00FC3260"/>
    <w:rsid w:val="00FC33A5"/>
    <w:rsid w:val="00FC388B"/>
    <w:rsid w:val="00FC3D0C"/>
    <w:rsid w:val="00FC4F22"/>
    <w:rsid w:val="00FC4FB7"/>
    <w:rsid w:val="00FC5194"/>
    <w:rsid w:val="00FC6D3F"/>
    <w:rsid w:val="00FC7B86"/>
    <w:rsid w:val="00FD07BB"/>
    <w:rsid w:val="00FD1423"/>
    <w:rsid w:val="00FD1536"/>
    <w:rsid w:val="00FD1AAA"/>
    <w:rsid w:val="00FD30BD"/>
    <w:rsid w:val="00FD342C"/>
    <w:rsid w:val="00FD6052"/>
    <w:rsid w:val="00FD7A95"/>
    <w:rsid w:val="00FE0686"/>
    <w:rsid w:val="00FE0A9A"/>
    <w:rsid w:val="00FE0EA0"/>
    <w:rsid w:val="00FE1AC6"/>
    <w:rsid w:val="00FE1AED"/>
    <w:rsid w:val="00FE20C5"/>
    <w:rsid w:val="00FE2D94"/>
    <w:rsid w:val="00FE3386"/>
    <w:rsid w:val="00FE4338"/>
    <w:rsid w:val="00FE4414"/>
    <w:rsid w:val="00FE4CA4"/>
    <w:rsid w:val="00FE54C5"/>
    <w:rsid w:val="00FE5961"/>
    <w:rsid w:val="00FE670D"/>
    <w:rsid w:val="00FF010A"/>
    <w:rsid w:val="00FF0247"/>
    <w:rsid w:val="00FF2231"/>
    <w:rsid w:val="00FF2A73"/>
    <w:rsid w:val="00FF31FB"/>
    <w:rsid w:val="00FF3638"/>
    <w:rsid w:val="00FF39D2"/>
    <w:rsid w:val="00FF494E"/>
    <w:rsid w:val="00FF713C"/>
    <w:rsid w:val="00FF7B66"/>
    <w:rsid w:val="00FF7EF5"/>
    <w:rsid w:val="01155CD6"/>
    <w:rsid w:val="0120D48B"/>
    <w:rsid w:val="01326675"/>
    <w:rsid w:val="0139FBC3"/>
    <w:rsid w:val="015BF1DC"/>
    <w:rsid w:val="01707974"/>
    <w:rsid w:val="0178CAD1"/>
    <w:rsid w:val="01A73533"/>
    <w:rsid w:val="01AB020E"/>
    <w:rsid w:val="01B4B507"/>
    <w:rsid w:val="01BB3C57"/>
    <w:rsid w:val="01D0C1C4"/>
    <w:rsid w:val="01DA5D2C"/>
    <w:rsid w:val="01DAE5F6"/>
    <w:rsid w:val="01E0BEEF"/>
    <w:rsid w:val="01E8406F"/>
    <w:rsid w:val="01FCC892"/>
    <w:rsid w:val="023DAF52"/>
    <w:rsid w:val="0244B480"/>
    <w:rsid w:val="0252FB3A"/>
    <w:rsid w:val="0253B69A"/>
    <w:rsid w:val="026BEFEB"/>
    <w:rsid w:val="02780F6C"/>
    <w:rsid w:val="028EE249"/>
    <w:rsid w:val="02A4E52F"/>
    <w:rsid w:val="02A97F13"/>
    <w:rsid w:val="02D6F6BA"/>
    <w:rsid w:val="02D9BC9D"/>
    <w:rsid w:val="02F004E3"/>
    <w:rsid w:val="03207624"/>
    <w:rsid w:val="0342656D"/>
    <w:rsid w:val="036D5934"/>
    <w:rsid w:val="036EEAAE"/>
    <w:rsid w:val="036F0D7B"/>
    <w:rsid w:val="038AEC2B"/>
    <w:rsid w:val="038E1F0F"/>
    <w:rsid w:val="0395837A"/>
    <w:rsid w:val="03995482"/>
    <w:rsid w:val="03AE9F3D"/>
    <w:rsid w:val="03CF8BAD"/>
    <w:rsid w:val="03E84AB2"/>
    <w:rsid w:val="03F6AEFF"/>
    <w:rsid w:val="03FE901F"/>
    <w:rsid w:val="04002A73"/>
    <w:rsid w:val="0402226C"/>
    <w:rsid w:val="04052CDF"/>
    <w:rsid w:val="04117AAE"/>
    <w:rsid w:val="04362A0C"/>
    <w:rsid w:val="043FC900"/>
    <w:rsid w:val="04478DE9"/>
    <w:rsid w:val="044C7BD1"/>
    <w:rsid w:val="045BC21D"/>
    <w:rsid w:val="045EBC6F"/>
    <w:rsid w:val="046C1AF7"/>
    <w:rsid w:val="04766508"/>
    <w:rsid w:val="0489B91F"/>
    <w:rsid w:val="048CDFAB"/>
    <w:rsid w:val="0494E84A"/>
    <w:rsid w:val="049643E4"/>
    <w:rsid w:val="04A4A470"/>
    <w:rsid w:val="04ACA690"/>
    <w:rsid w:val="04D4E276"/>
    <w:rsid w:val="050A6C81"/>
    <w:rsid w:val="054909E5"/>
    <w:rsid w:val="058EA179"/>
    <w:rsid w:val="05978161"/>
    <w:rsid w:val="05CFE7D6"/>
    <w:rsid w:val="05E0EDA0"/>
    <w:rsid w:val="05F79726"/>
    <w:rsid w:val="05F9C69F"/>
    <w:rsid w:val="0618812F"/>
    <w:rsid w:val="06195DCE"/>
    <w:rsid w:val="0628B0BA"/>
    <w:rsid w:val="062A951F"/>
    <w:rsid w:val="06390751"/>
    <w:rsid w:val="0642061A"/>
    <w:rsid w:val="064BEF45"/>
    <w:rsid w:val="0651212C"/>
    <w:rsid w:val="065AA67A"/>
    <w:rsid w:val="066EA75B"/>
    <w:rsid w:val="066F7E69"/>
    <w:rsid w:val="0672D0A7"/>
    <w:rsid w:val="06B133DC"/>
    <w:rsid w:val="06BE1EFE"/>
    <w:rsid w:val="06C4A910"/>
    <w:rsid w:val="06C8646A"/>
    <w:rsid w:val="06C9CDF2"/>
    <w:rsid w:val="06D7DE46"/>
    <w:rsid w:val="06ED6B79"/>
    <w:rsid w:val="06EF7E48"/>
    <w:rsid w:val="06F27F94"/>
    <w:rsid w:val="06FD6576"/>
    <w:rsid w:val="0706A5E9"/>
    <w:rsid w:val="070E1214"/>
    <w:rsid w:val="071DE583"/>
    <w:rsid w:val="074D5F82"/>
    <w:rsid w:val="077A8536"/>
    <w:rsid w:val="077CC7C8"/>
    <w:rsid w:val="07811422"/>
    <w:rsid w:val="07815B37"/>
    <w:rsid w:val="079C985A"/>
    <w:rsid w:val="079D1E2D"/>
    <w:rsid w:val="07B0492C"/>
    <w:rsid w:val="07BE0B9F"/>
    <w:rsid w:val="07D46C20"/>
    <w:rsid w:val="07DD1E45"/>
    <w:rsid w:val="07F4FA93"/>
    <w:rsid w:val="08033DBA"/>
    <w:rsid w:val="08262E08"/>
    <w:rsid w:val="085CBADF"/>
    <w:rsid w:val="085E260C"/>
    <w:rsid w:val="086A4919"/>
    <w:rsid w:val="0874766F"/>
    <w:rsid w:val="088022CB"/>
    <w:rsid w:val="08816908"/>
    <w:rsid w:val="08ABB6C6"/>
    <w:rsid w:val="08AE4FF7"/>
    <w:rsid w:val="08B0500C"/>
    <w:rsid w:val="09044CC7"/>
    <w:rsid w:val="0933179F"/>
    <w:rsid w:val="093BC196"/>
    <w:rsid w:val="094C5AE3"/>
    <w:rsid w:val="094E25A0"/>
    <w:rsid w:val="0967C962"/>
    <w:rsid w:val="099A438D"/>
    <w:rsid w:val="09A283AA"/>
    <w:rsid w:val="09A7AA5A"/>
    <w:rsid w:val="09E9282B"/>
    <w:rsid w:val="0A0DEA82"/>
    <w:rsid w:val="0A126F38"/>
    <w:rsid w:val="0A30403E"/>
    <w:rsid w:val="0A324B5E"/>
    <w:rsid w:val="0A3CEEA4"/>
    <w:rsid w:val="0A3D3F23"/>
    <w:rsid w:val="0A4E9AA8"/>
    <w:rsid w:val="0A592222"/>
    <w:rsid w:val="0A662968"/>
    <w:rsid w:val="0A96BEC5"/>
    <w:rsid w:val="0A9C831C"/>
    <w:rsid w:val="0AABF95A"/>
    <w:rsid w:val="0AB17A75"/>
    <w:rsid w:val="0ADAFC70"/>
    <w:rsid w:val="0ADCD9DA"/>
    <w:rsid w:val="0AE6CA31"/>
    <w:rsid w:val="0AF596F9"/>
    <w:rsid w:val="0AFE9821"/>
    <w:rsid w:val="0B0383F7"/>
    <w:rsid w:val="0B0D61E9"/>
    <w:rsid w:val="0B36EA0A"/>
    <w:rsid w:val="0B6729EB"/>
    <w:rsid w:val="0BA33B4D"/>
    <w:rsid w:val="0BA3739D"/>
    <w:rsid w:val="0BC2B9B1"/>
    <w:rsid w:val="0BE69B5C"/>
    <w:rsid w:val="0C09685C"/>
    <w:rsid w:val="0C0B3910"/>
    <w:rsid w:val="0C0FAF21"/>
    <w:rsid w:val="0C1DE4FC"/>
    <w:rsid w:val="0C296D25"/>
    <w:rsid w:val="0C2E6D4B"/>
    <w:rsid w:val="0C6FF48F"/>
    <w:rsid w:val="0C9D5815"/>
    <w:rsid w:val="0C9FC56B"/>
    <w:rsid w:val="0CB6BDDD"/>
    <w:rsid w:val="0CBF2712"/>
    <w:rsid w:val="0CCACBB0"/>
    <w:rsid w:val="0CEFDC5D"/>
    <w:rsid w:val="0CFA8136"/>
    <w:rsid w:val="0D009E22"/>
    <w:rsid w:val="0D015067"/>
    <w:rsid w:val="0D0B046E"/>
    <w:rsid w:val="0D1C217F"/>
    <w:rsid w:val="0D39A03F"/>
    <w:rsid w:val="0D434EB6"/>
    <w:rsid w:val="0D4CA320"/>
    <w:rsid w:val="0D72908B"/>
    <w:rsid w:val="0D8730BC"/>
    <w:rsid w:val="0D8DBF7B"/>
    <w:rsid w:val="0DDBF831"/>
    <w:rsid w:val="0E1FF8D6"/>
    <w:rsid w:val="0E25DBCC"/>
    <w:rsid w:val="0E2C5B4A"/>
    <w:rsid w:val="0E396817"/>
    <w:rsid w:val="0E48970B"/>
    <w:rsid w:val="0E493524"/>
    <w:rsid w:val="0E524615"/>
    <w:rsid w:val="0E6D6B16"/>
    <w:rsid w:val="0EA07B1D"/>
    <w:rsid w:val="0EAFCA96"/>
    <w:rsid w:val="0EC84666"/>
    <w:rsid w:val="0ECAD698"/>
    <w:rsid w:val="0ECEF21A"/>
    <w:rsid w:val="0F5BB6FA"/>
    <w:rsid w:val="0F5F0F4B"/>
    <w:rsid w:val="0F84D1EE"/>
    <w:rsid w:val="0F85D71C"/>
    <w:rsid w:val="0F87639F"/>
    <w:rsid w:val="0F9B6320"/>
    <w:rsid w:val="0FA54512"/>
    <w:rsid w:val="0FA82E5F"/>
    <w:rsid w:val="0FCCF448"/>
    <w:rsid w:val="10573983"/>
    <w:rsid w:val="105FA765"/>
    <w:rsid w:val="1064BE59"/>
    <w:rsid w:val="107E2F98"/>
    <w:rsid w:val="108355F2"/>
    <w:rsid w:val="10A516D6"/>
    <w:rsid w:val="10B7F7D3"/>
    <w:rsid w:val="10CA942E"/>
    <w:rsid w:val="10CD398E"/>
    <w:rsid w:val="10E39FA2"/>
    <w:rsid w:val="112C6149"/>
    <w:rsid w:val="113B4C21"/>
    <w:rsid w:val="113C4D09"/>
    <w:rsid w:val="114D37E1"/>
    <w:rsid w:val="117D5A66"/>
    <w:rsid w:val="1185563B"/>
    <w:rsid w:val="118AA0AB"/>
    <w:rsid w:val="119B57F4"/>
    <w:rsid w:val="11BD1486"/>
    <w:rsid w:val="11C75894"/>
    <w:rsid w:val="11CA8107"/>
    <w:rsid w:val="11F57C53"/>
    <w:rsid w:val="1210BE35"/>
    <w:rsid w:val="1210CFE8"/>
    <w:rsid w:val="121195EE"/>
    <w:rsid w:val="121BC665"/>
    <w:rsid w:val="1257C285"/>
    <w:rsid w:val="126FAE1A"/>
    <w:rsid w:val="1279BBF6"/>
    <w:rsid w:val="12861394"/>
    <w:rsid w:val="128DF6AE"/>
    <w:rsid w:val="1295B59F"/>
    <w:rsid w:val="1298619A"/>
    <w:rsid w:val="129ADBA5"/>
    <w:rsid w:val="129B65F1"/>
    <w:rsid w:val="12A62CBA"/>
    <w:rsid w:val="12B7619E"/>
    <w:rsid w:val="12B980AC"/>
    <w:rsid w:val="12D8FF74"/>
    <w:rsid w:val="12E78E17"/>
    <w:rsid w:val="1301DDE1"/>
    <w:rsid w:val="1302D049"/>
    <w:rsid w:val="1302DE25"/>
    <w:rsid w:val="131BD165"/>
    <w:rsid w:val="132B8540"/>
    <w:rsid w:val="132E8D4A"/>
    <w:rsid w:val="133CB817"/>
    <w:rsid w:val="13468356"/>
    <w:rsid w:val="1362BEC9"/>
    <w:rsid w:val="13653C46"/>
    <w:rsid w:val="137697A2"/>
    <w:rsid w:val="1384D3F3"/>
    <w:rsid w:val="1388645F"/>
    <w:rsid w:val="13902CFC"/>
    <w:rsid w:val="13B228C0"/>
    <w:rsid w:val="13BF68AB"/>
    <w:rsid w:val="13D6D53F"/>
    <w:rsid w:val="13E24BD6"/>
    <w:rsid w:val="13E81DB1"/>
    <w:rsid w:val="13F3C49D"/>
    <w:rsid w:val="13F970E5"/>
    <w:rsid w:val="1427C656"/>
    <w:rsid w:val="142F7043"/>
    <w:rsid w:val="143CAF12"/>
    <w:rsid w:val="1443C8FA"/>
    <w:rsid w:val="14609EE0"/>
    <w:rsid w:val="148EA905"/>
    <w:rsid w:val="14C0DACF"/>
    <w:rsid w:val="14D50E5C"/>
    <w:rsid w:val="14F68FC7"/>
    <w:rsid w:val="150C04A3"/>
    <w:rsid w:val="151AB85C"/>
    <w:rsid w:val="15277E9A"/>
    <w:rsid w:val="15A62CA3"/>
    <w:rsid w:val="15D5079C"/>
    <w:rsid w:val="160D0D20"/>
    <w:rsid w:val="161B264A"/>
    <w:rsid w:val="1644F21F"/>
    <w:rsid w:val="1658C6E5"/>
    <w:rsid w:val="167715A2"/>
    <w:rsid w:val="16828C55"/>
    <w:rsid w:val="168A08E1"/>
    <w:rsid w:val="16903C8B"/>
    <w:rsid w:val="16957D39"/>
    <w:rsid w:val="16BE4E4E"/>
    <w:rsid w:val="16C2A499"/>
    <w:rsid w:val="16E721A8"/>
    <w:rsid w:val="171B7A61"/>
    <w:rsid w:val="17377AC1"/>
    <w:rsid w:val="174783A1"/>
    <w:rsid w:val="174E5A9E"/>
    <w:rsid w:val="17696C80"/>
    <w:rsid w:val="17835E87"/>
    <w:rsid w:val="178BA1CD"/>
    <w:rsid w:val="179FD172"/>
    <w:rsid w:val="17A71571"/>
    <w:rsid w:val="17C6E4F5"/>
    <w:rsid w:val="17EDBD58"/>
    <w:rsid w:val="17F43D35"/>
    <w:rsid w:val="17FEE123"/>
    <w:rsid w:val="183B628F"/>
    <w:rsid w:val="1850F820"/>
    <w:rsid w:val="187807E7"/>
    <w:rsid w:val="18AD1276"/>
    <w:rsid w:val="18BEB78B"/>
    <w:rsid w:val="18C513FE"/>
    <w:rsid w:val="18C5D08D"/>
    <w:rsid w:val="18DAD131"/>
    <w:rsid w:val="191F1FA2"/>
    <w:rsid w:val="19272EFF"/>
    <w:rsid w:val="19404928"/>
    <w:rsid w:val="197122A9"/>
    <w:rsid w:val="19750C03"/>
    <w:rsid w:val="198A1701"/>
    <w:rsid w:val="19BA7A25"/>
    <w:rsid w:val="19D26CF0"/>
    <w:rsid w:val="1A143068"/>
    <w:rsid w:val="1A215936"/>
    <w:rsid w:val="1A239CDE"/>
    <w:rsid w:val="1A5D14ED"/>
    <w:rsid w:val="1A5DC185"/>
    <w:rsid w:val="1A5EECE8"/>
    <w:rsid w:val="1A5F2D65"/>
    <w:rsid w:val="1A62D073"/>
    <w:rsid w:val="1A6986B8"/>
    <w:rsid w:val="1A6C2858"/>
    <w:rsid w:val="1A78A98B"/>
    <w:rsid w:val="1A7AA36F"/>
    <w:rsid w:val="1A8FA299"/>
    <w:rsid w:val="1A919AF6"/>
    <w:rsid w:val="1AA722B3"/>
    <w:rsid w:val="1AB86B6E"/>
    <w:rsid w:val="1ABAAB16"/>
    <w:rsid w:val="1AE6D607"/>
    <w:rsid w:val="1B024400"/>
    <w:rsid w:val="1B044B14"/>
    <w:rsid w:val="1B345B81"/>
    <w:rsid w:val="1B4293ED"/>
    <w:rsid w:val="1B4CE72C"/>
    <w:rsid w:val="1B5BA433"/>
    <w:rsid w:val="1B5EF51D"/>
    <w:rsid w:val="1B6BA664"/>
    <w:rsid w:val="1B6DA5F1"/>
    <w:rsid w:val="1B73F7DC"/>
    <w:rsid w:val="1B8B70C5"/>
    <w:rsid w:val="1BAE617C"/>
    <w:rsid w:val="1BB9AE66"/>
    <w:rsid w:val="1BBBEACD"/>
    <w:rsid w:val="1BBDC808"/>
    <w:rsid w:val="1BCA5717"/>
    <w:rsid w:val="1BD5E05E"/>
    <w:rsid w:val="1BDDBAEC"/>
    <w:rsid w:val="1BF713DE"/>
    <w:rsid w:val="1C07B42D"/>
    <w:rsid w:val="1C1084B5"/>
    <w:rsid w:val="1C166160"/>
    <w:rsid w:val="1C1A3F03"/>
    <w:rsid w:val="1C3BD0F7"/>
    <w:rsid w:val="1C511C27"/>
    <w:rsid w:val="1C73BCD4"/>
    <w:rsid w:val="1C958406"/>
    <w:rsid w:val="1C9A0D06"/>
    <w:rsid w:val="1CBA46B7"/>
    <w:rsid w:val="1CD9193D"/>
    <w:rsid w:val="1CE34CDE"/>
    <w:rsid w:val="1CEB6FB0"/>
    <w:rsid w:val="1CEE064E"/>
    <w:rsid w:val="1D026646"/>
    <w:rsid w:val="1D075E01"/>
    <w:rsid w:val="1D0B4764"/>
    <w:rsid w:val="1D121F68"/>
    <w:rsid w:val="1D521715"/>
    <w:rsid w:val="1D63BDF4"/>
    <w:rsid w:val="1D682F2C"/>
    <w:rsid w:val="1D7EE10A"/>
    <w:rsid w:val="1D8E56C3"/>
    <w:rsid w:val="1DC39A05"/>
    <w:rsid w:val="1DE222F6"/>
    <w:rsid w:val="1DF9C63A"/>
    <w:rsid w:val="1E0590C3"/>
    <w:rsid w:val="1E0ED55F"/>
    <w:rsid w:val="1E3DDC92"/>
    <w:rsid w:val="1E496C6C"/>
    <w:rsid w:val="1E679B94"/>
    <w:rsid w:val="1E6C1915"/>
    <w:rsid w:val="1E824913"/>
    <w:rsid w:val="1EB648D2"/>
    <w:rsid w:val="1EC0454C"/>
    <w:rsid w:val="1EC27427"/>
    <w:rsid w:val="1ECCA614"/>
    <w:rsid w:val="1ED203B8"/>
    <w:rsid w:val="1F165874"/>
    <w:rsid w:val="1F2CE74A"/>
    <w:rsid w:val="1F3B48F8"/>
    <w:rsid w:val="1F51BCDF"/>
    <w:rsid w:val="1F62DA78"/>
    <w:rsid w:val="1F733629"/>
    <w:rsid w:val="1FA51E22"/>
    <w:rsid w:val="1FC167B8"/>
    <w:rsid w:val="1FC1CC47"/>
    <w:rsid w:val="1FDBB56F"/>
    <w:rsid w:val="1FF7E9D1"/>
    <w:rsid w:val="201DA6C1"/>
    <w:rsid w:val="202A2515"/>
    <w:rsid w:val="2052275E"/>
    <w:rsid w:val="2053EDC9"/>
    <w:rsid w:val="20594D96"/>
    <w:rsid w:val="206385FA"/>
    <w:rsid w:val="20890A2C"/>
    <w:rsid w:val="208F2E84"/>
    <w:rsid w:val="20B10849"/>
    <w:rsid w:val="20B39DAD"/>
    <w:rsid w:val="20CDCAA2"/>
    <w:rsid w:val="20E7EA29"/>
    <w:rsid w:val="20FB59C4"/>
    <w:rsid w:val="20FB5F41"/>
    <w:rsid w:val="2109D9C0"/>
    <w:rsid w:val="2115E00C"/>
    <w:rsid w:val="212DAF0B"/>
    <w:rsid w:val="215D9D12"/>
    <w:rsid w:val="218ECAD1"/>
    <w:rsid w:val="21BDA350"/>
    <w:rsid w:val="21C9BEDA"/>
    <w:rsid w:val="21D1BC99"/>
    <w:rsid w:val="21E91B2D"/>
    <w:rsid w:val="21ED3C34"/>
    <w:rsid w:val="2211EF88"/>
    <w:rsid w:val="222C70AF"/>
    <w:rsid w:val="22365932"/>
    <w:rsid w:val="2247758F"/>
    <w:rsid w:val="228D1555"/>
    <w:rsid w:val="22B3C17F"/>
    <w:rsid w:val="22B753E0"/>
    <w:rsid w:val="22D06D15"/>
    <w:rsid w:val="230C963A"/>
    <w:rsid w:val="23134769"/>
    <w:rsid w:val="23282BCA"/>
    <w:rsid w:val="233BBAE8"/>
    <w:rsid w:val="234D4F39"/>
    <w:rsid w:val="2367CDE5"/>
    <w:rsid w:val="237BED2A"/>
    <w:rsid w:val="23EF03BB"/>
    <w:rsid w:val="23F48857"/>
    <w:rsid w:val="23FF76BA"/>
    <w:rsid w:val="2405D0EE"/>
    <w:rsid w:val="2421CB05"/>
    <w:rsid w:val="242DE527"/>
    <w:rsid w:val="2450A75A"/>
    <w:rsid w:val="24621AC7"/>
    <w:rsid w:val="2480C37D"/>
    <w:rsid w:val="249E28EB"/>
    <w:rsid w:val="24C5BD33"/>
    <w:rsid w:val="24C944BD"/>
    <w:rsid w:val="24DC3505"/>
    <w:rsid w:val="24EFC50B"/>
    <w:rsid w:val="25129324"/>
    <w:rsid w:val="2515C363"/>
    <w:rsid w:val="251A8263"/>
    <w:rsid w:val="25221F69"/>
    <w:rsid w:val="25257624"/>
    <w:rsid w:val="2525FF43"/>
    <w:rsid w:val="254ED0BB"/>
    <w:rsid w:val="25917B13"/>
    <w:rsid w:val="25A3BD90"/>
    <w:rsid w:val="25BAC24A"/>
    <w:rsid w:val="25D182DC"/>
    <w:rsid w:val="25D396F4"/>
    <w:rsid w:val="25D8F51C"/>
    <w:rsid w:val="25EA2DC7"/>
    <w:rsid w:val="25EFD0C9"/>
    <w:rsid w:val="2605BFE5"/>
    <w:rsid w:val="261CF35F"/>
    <w:rsid w:val="262A3BF1"/>
    <w:rsid w:val="262F293E"/>
    <w:rsid w:val="2676BA50"/>
    <w:rsid w:val="267E9B8D"/>
    <w:rsid w:val="268A0DEB"/>
    <w:rsid w:val="26A03A46"/>
    <w:rsid w:val="26C187B8"/>
    <w:rsid w:val="26D2452F"/>
    <w:rsid w:val="26F04105"/>
    <w:rsid w:val="2731684B"/>
    <w:rsid w:val="2748C219"/>
    <w:rsid w:val="275DFB88"/>
    <w:rsid w:val="276B35CC"/>
    <w:rsid w:val="27723DF9"/>
    <w:rsid w:val="27833127"/>
    <w:rsid w:val="2787D727"/>
    <w:rsid w:val="279C2F5D"/>
    <w:rsid w:val="27B53D99"/>
    <w:rsid w:val="27B75D80"/>
    <w:rsid w:val="27D89E28"/>
    <w:rsid w:val="27E51022"/>
    <w:rsid w:val="280770A4"/>
    <w:rsid w:val="2819A124"/>
    <w:rsid w:val="28225BD2"/>
    <w:rsid w:val="28252150"/>
    <w:rsid w:val="283122E9"/>
    <w:rsid w:val="284C7FFB"/>
    <w:rsid w:val="285E1D3F"/>
    <w:rsid w:val="287868B5"/>
    <w:rsid w:val="289285C9"/>
    <w:rsid w:val="2898BD05"/>
    <w:rsid w:val="289C9036"/>
    <w:rsid w:val="28A9FAD8"/>
    <w:rsid w:val="28C0AB2E"/>
    <w:rsid w:val="28DE24D4"/>
    <w:rsid w:val="28E0BBF2"/>
    <w:rsid w:val="291273BD"/>
    <w:rsid w:val="29254799"/>
    <w:rsid w:val="29256764"/>
    <w:rsid w:val="293B5310"/>
    <w:rsid w:val="294E28B1"/>
    <w:rsid w:val="2968586D"/>
    <w:rsid w:val="297479BE"/>
    <w:rsid w:val="297E8642"/>
    <w:rsid w:val="2982194C"/>
    <w:rsid w:val="29A25665"/>
    <w:rsid w:val="29FF746F"/>
    <w:rsid w:val="2A16B23A"/>
    <w:rsid w:val="2A304845"/>
    <w:rsid w:val="2A4E5E6A"/>
    <w:rsid w:val="2ABA500A"/>
    <w:rsid w:val="2ABC141E"/>
    <w:rsid w:val="2AC88A9F"/>
    <w:rsid w:val="2ACC0CBA"/>
    <w:rsid w:val="2B1EB538"/>
    <w:rsid w:val="2B57A997"/>
    <w:rsid w:val="2B6A443D"/>
    <w:rsid w:val="2B79ABF6"/>
    <w:rsid w:val="2BBF23B8"/>
    <w:rsid w:val="2BC06D8F"/>
    <w:rsid w:val="2BC6D512"/>
    <w:rsid w:val="2C00CE8E"/>
    <w:rsid w:val="2C0E8909"/>
    <w:rsid w:val="2C0F399B"/>
    <w:rsid w:val="2C227B50"/>
    <w:rsid w:val="2C2792CD"/>
    <w:rsid w:val="2C3E5895"/>
    <w:rsid w:val="2C4C2C0F"/>
    <w:rsid w:val="2C4EDBAA"/>
    <w:rsid w:val="2C5A8661"/>
    <w:rsid w:val="2C968DE0"/>
    <w:rsid w:val="2CA4E09C"/>
    <w:rsid w:val="2CB9D368"/>
    <w:rsid w:val="2CC73178"/>
    <w:rsid w:val="2CD9648A"/>
    <w:rsid w:val="2CEA0C20"/>
    <w:rsid w:val="2CEF8302"/>
    <w:rsid w:val="2D09D583"/>
    <w:rsid w:val="2D31F21A"/>
    <w:rsid w:val="2D3A5C24"/>
    <w:rsid w:val="2D4DADD8"/>
    <w:rsid w:val="2D860A64"/>
    <w:rsid w:val="2DB3D39E"/>
    <w:rsid w:val="2DB8425C"/>
    <w:rsid w:val="2DBCC551"/>
    <w:rsid w:val="2DC82C39"/>
    <w:rsid w:val="2DD34CC6"/>
    <w:rsid w:val="2DDC7980"/>
    <w:rsid w:val="2E0A4D47"/>
    <w:rsid w:val="2E215CF3"/>
    <w:rsid w:val="2E251C11"/>
    <w:rsid w:val="2E253099"/>
    <w:rsid w:val="2E6DDBAA"/>
    <w:rsid w:val="2E7A02CC"/>
    <w:rsid w:val="2E82DC26"/>
    <w:rsid w:val="2E881E4D"/>
    <w:rsid w:val="2E94C93C"/>
    <w:rsid w:val="2EA8CAB1"/>
    <w:rsid w:val="2EAC565F"/>
    <w:rsid w:val="2ECC1612"/>
    <w:rsid w:val="2ED57ADA"/>
    <w:rsid w:val="2EE8A341"/>
    <w:rsid w:val="2EF50BAC"/>
    <w:rsid w:val="2F5466A0"/>
    <w:rsid w:val="2F69D3F6"/>
    <w:rsid w:val="2F8DEAFE"/>
    <w:rsid w:val="2F8F5C43"/>
    <w:rsid w:val="2FB15200"/>
    <w:rsid w:val="2FCF1A45"/>
    <w:rsid w:val="2FE8DAD1"/>
    <w:rsid w:val="2FEEBAC2"/>
    <w:rsid w:val="30098320"/>
    <w:rsid w:val="304C2C3D"/>
    <w:rsid w:val="306AEE78"/>
    <w:rsid w:val="307050AC"/>
    <w:rsid w:val="30986131"/>
    <w:rsid w:val="30B044F3"/>
    <w:rsid w:val="30D10D07"/>
    <w:rsid w:val="30E1388D"/>
    <w:rsid w:val="30F105DC"/>
    <w:rsid w:val="30F8AE27"/>
    <w:rsid w:val="30F9B41E"/>
    <w:rsid w:val="30FE9AD9"/>
    <w:rsid w:val="31068F7C"/>
    <w:rsid w:val="3116F0D6"/>
    <w:rsid w:val="31581DE5"/>
    <w:rsid w:val="316A6E0E"/>
    <w:rsid w:val="31741098"/>
    <w:rsid w:val="317542A1"/>
    <w:rsid w:val="3177B95F"/>
    <w:rsid w:val="31784703"/>
    <w:rsid w:val="317C9527"/>
    <w:rsid w:val="31826544"/>
    <w:rsid w:val="3199EFC4"/>
    <w:rsid w:val="31A64971"/>
    <w:rsid w:val="31CC20BC"/>
    <w:rsid w:val="31DB66F0"/>
    <w:rsid w:val="32166884"/>
    <w:rsid w:val="321C49A4"/>
    <w:rsid w:val="32355FC3"/>
    <w:rsid w:val="323D581E"/>
    <w:rsid w:val="32959E2A"/>
    <w:rsid w:val="32BC5EDD"/>
    <w:rsid w:val="32D1466B"/>
    <w:rsid w:val="32D2175B"/>
    <w:rsid w:val="32EFBEAB"/>
    <w:rsid w:val="32EFD29B"/>
    <w:rsid w:val="331841AE"/>
    <w:rsid w:val="3322F6A6"/>
    <w:rsid w:val="3327AB39"/>
    <w:rsid w:val="332AAE1B"/>
    <w:rsid w:val="3333565E"/>
    <w:rsid w:val="338A17EF"/>
    <w:rsid w:val="339466D6"/>
    <w:rsid w:val="33B3D223"/>
    <w:rsid w:val="33D60C49"/>
    <w:rsid w:val="33D92822"/>
    <w:rsid w:val="341C20BA"/>
    <w:rsid w:val="3447DFD3"/>
    <w:rsid w:val="344A993A"/>
    <w:rsid w:val="3468C26B"/>
    <w:rsid w:val="34776376"/>
    <w:rsid w:val="347B6452"/>
    <w:rsid w:val="347C51DE"/>
    <w:rsid w:val="34CE3B16"/>
    <w:rsid w:val="34D3FA5A"/>
    <w:rsid w:val="34D7B719"/>
    <w:rsid w:val="3500BA1E"/>
    <w:rsid w:val="35215F80"/>
    <w:rsid w:val="3549EE92"/>
    <w:rsid w:val="35545323"/>
    <w:rsid w:val="3554D349"/>
    <w:rsid w:val="356F061A"/>
    <w:rsid w:val="3576B84D"/>
    <w:rsid w:val="3588713B"/>
    <w:rsid w:val="358A055E"/>
    <w:rsid w:val="35A3E66F"/>
    <w:rsid w:val="35CF87F2"/>
    <w:rsid w:val="35FA3402"/>
    <w:rsid w:val="3656762C"/>
    <w:rsid w:val="3665204B"/>
    <w:rsid w:val="368B87DA"/>
    <w:rsid w:val="36923685"/>
    <w:rsid w:val="36AE15E0"/>
    <w:rsid w:val="36BD89EA"/>
    <w:rsid w:val="36E22379"/>
    <w:rsid w:val="371F5919"/>
    <w:rsid w:val="3733839B"/>
    <w:rsid w:val="37390A63"/>
    <w:rsid w:val="373F01FB"/>
    <w:rsid w:val="373FCEF4"/>
    <w:rsid w:val="3774628C"/>
    <w:rsid w:val="37AF3223"/>
    <w:rsid w:val="37FE26D5"/>
    <w:rsid w:val="384F5806"/>
    <w:rsid w:val="385B58DC"/>
    <w:rsid w:val="388394E9"/>
    <w:rsid w:val="38978724"/>
    <w:rsid w:val="389B48AA"/>
    <w:rsid w:val="38A9F8C7"/>
    <w:rsid w:val="38AA5E2B"/>
    <w:rsid w:val="38B04387"/>
    <w:rsid w:val="38C6BFA9"/>
    <w:rsid w:val="3903182C"/>
    <w:rsid w:val="3915A79C"/>
    <w:rsid w:val="392FEDA8"/>
    <w:rsid w:val="3948FD0E"/>
    <w:rsid w:val="39924876"/>
    <w:rsid w:val="39A41924"/>
    <w:rsid w:val="39BA3F4F"/>
    <w:rsid w:val="39BBD462"/>
    <w:rsid w:val="39C12CB6"/>
    <w:rsid w:val="39C7E6DB"/>
    <w:rsid w:val="39E311B0"/>
    <w:rsid w:val="3A162FE0"/>
    <w:rsid w:val="3A2484E9"/>
    <w:rsid w:val="3A836BAD"/>
    <w:rsid w:val="3A883734"/>
    <w:rsid w:val="3A8E1C03"/>
    <w:rsid w:val="3A905E80"/>
    <w:rsid w:val="3A9FB296"/>
    <w:rsid w:val="3AAFB2AC"/>
    <w:rsid w:val="3AB041C4"/>
    <w:rsid w:val="3AC748EC"/>
    <w:rsid w:val="3AF208E6"/>
    <w:rsid w:val="3B2F269B"/>
    <w:rsid w:val="3B30B078"/>
    <w:rsid w:val="3B725FF6"/>
    <w:rsid w:val="3BC8556C"/>
    <w:rsid w:val="3BE1530D"/>
    <w:rsid w:val="3BE157A0"/>
    <w:rsid w:val="3C0C6458"/>
    <w:rsid w:val="3C4B5FCB"/>
    <w:rsid w:val="3C556033"/>
    <w:rsid w:val="3C6460BC"/>
    <w:rsid w:val="3C6A9806"/>
    <w:rsid w:val="3C6EBE69"/>
    <w:rsid w:val="3C9E9127"/>
    <w:rsid w:val="3CB3BADB"/>
    <w:rsid w:val="3CE4349E"/>
    <w:rsid w:val="3CF612D3"/>
    <w:rsid w:val="3D0023C4"/>
    <w:rsid w:val="3D1F2657"/>
    <w:rsid w:val="3D31CB3E"/>
    <w:rsid w:val="3D3A0F43"/>
    <w:rsid w:val="3D3B218B"/>
    <w:rsid w:val="3D83BD28"/>
    <w:rsid w:val="3D9FBFBD"/>
    <w:rsid w:val="3DA5CC4D"/>
    <w:rsid w:val="3DAEF4EC"/>
    <w:rsid w:val="3DB0498D"/>
    <w:rsid w:val="3DC3361F"/>
    <w:rsid w:val="3DDE94BF"/>
    <w:rsid w:val="3DF09B34"/>
    <w:rsid w:val="3DF0F85E"/>
    <w:rsid w:val="3E00554F"/>
    <w:rsid w:val="3E0ED219"/>
    <w:rsid w:val="3E1BDD9C"/>
    <w:rsid w:val="3E290E34"/>
    <w:rsid w:val="3E305970"/>
    <w:rsid w:val="3E326489"/>
    <w:rsid w:val="3E3339A3"/>
    <w:rsid w:val="3E338257"/>
    <w:rsid w:val="3E54B6D3"/>
    <w:rsid w:val="3E54BD73"/>
    <w:rsid w:val="3E66CF97"/>
    <w:rsid w:val="3E67DBE0"/>
    <w:rsid w:val="3E6BD82D"/>
    <w:rsid w:val="3E70353D"/>
    <w:rsid w:val="3E790FF5"/>
    <w:rsid w:val="3E7C673B"/>
    <w:rsid w:val="3E7EA379"/>
    <w:rsid w:val="3E86F547"/>
    <w:rsid w:val="3EBE6321"/>
    <w:rsid w:val="3EBE64F6"/>
    <w:rsid w:val="3EC6CCA2"/>
    <w:rsid w:val="3ED6F34A"/>
    <w:rsid w:val="3EFED6C2"/>
    <w:rsid w:val="3F005543"/>
    <w:rsid w:val="3F038C55"/>
    <w:rsid w:val="3F139B46"/>
    <w:rsid w:val="3F25F316"/>
    <w:rsid w:val="3F28D213"/>
    <w:rsid w:val="3F5B79C0"/>
    <w:rsid w:val="3F7E3E6D"/>
    <w:rsid w:val="3F860877"/>
    <w:rsid w:val="3FC23A9D"/>
    <w:rsid w:val="3FF57797"/>
    <w:rsid w:val="3FFB6206"/>
    <w:rsid w:val="40044713"/>
    <w:rsid w:val="40057766"/>
    <w:rsid w:val="400AB8C1"/>
    <w:rsid w:val="40235F43"/>
    <w:rsid w:val="404C98AE"/>
    <w:rsid w:val="4066D10E"/>
    <w:rsid w:val="406AAEDA"/>
    <w:rsid w:val="409DF36B"/>
    <w:rsid w:val="40A9154D"/>
    <w:rsid w:val="40C490AB"/>
    <w:rsid w:val="40DB2F48"/>
    <w:rsid w:val="40F12C49"/>
    <w:rsid w:val="40F953C7"/>
    <w:rsid w:val="40FD83CD"/>
    <w:rsid w:val="40FDBAA8"/>
    <w:rsid w:val="41047CED"/>
    <w:rsid w:val="41142F33"/>
    <w:rsid w:val="411C5707"/>
    <w:rsid w:val="412209AC"/>
    <w:rsid w:val="414798A4"/>
    <w:rsid w:val="4153F8DB"/>
    <w:rsid w:val="418653FB"/>
    <w:rsid w:val="41AD7414"/>
    <w:rsid w:val="41C07B00"/>
    <w:rsid w:val="422C5EBE"/>
    <w:rsid w:val="4244809D"/>
    <w:rsid w:val="4270422F"/>
    <w:rsid w:val="42B6B6E1"/>
    <w:rsid w:val="42CFE104"/>
    <w:rsid w:val="43098AE7"/>
    <w:rsid w:val="431CA134"/>
    <w:rsid w:val="43292337"/>
    <w:rsid w:val="432BA7E9"/>
    <w:rsid w:val="434B3EC9"/>
    <w:rsid w:val="43522873"/>
    <w:rsid w:val="4367FB27"/>
    <w:rsid w:val="437E68F8"/>
    <w:rsid w:val="43A36658"/>
    <w:rsid w:val="43C85F9C"/>
    <w:rsid w:val="43C9DB1E"/>
    <w:rsid w:val="43CD6954"/>
    <w:rsid w:val="43CDF0B4"/>
    <w:rsid w:val="43CF8D49"/>
    <w:rsid w:val="43D3CE95"/>
    <w:rsid w:val="43EB267B"/>
    <w:rsid w:val="4400EDF2"/>
    <w:rsid w:val="4403F9C5"/>
    <w:rsid w:val="441C2AD7"/>
    <w:rsid w:val="44223B74"/>
    <w:rsid w:val="4422CB08"/>
    <w:rsid w:val="4427890F"/>
    <w:rsid w:val="44493C4B"/>
    <w:rsid w:val="446040C8"/>
    <w:rsid w:val="447104D8"/>
    <w:rsid w:val="44798C5A"/>
    <w:rsid w:val="44948D98"/>
    <w:rsid w:val="44A914AB"/>
    <w:rsid w:val="44D696C6"/>
    <w:rsid w:val="44E62FF3"/>
    <w:rsid w:val="44E84F02"/>
    <w:rsid w:val="44E9DBA9"/>
    <w:rsid w:val="44FCA238"/>
    <w:rsid w:val="451160E5"/>
    <w:rsid w:val="4548DBDA"/>
    <w:rsid w:val="454EDDCA"/>
    <w:rsid w:val="4561BF74"/>
    <w:rsid w:val="4564EE84"/>
    <w:rsid w:val="457268B2"/>
    <w:rsid w:val="45AAC549"/>
    <w:rsid w:val="45C36646"/>
    <w:rsid w:val="45CB31FF"/>
    <w:rsid w:val="45F93DDD"/>
    <w:rsid w:val="46000F13"/>
    <w:rsid w:val="460874B5"/>
    <w:rsid w:val="4648BF0A"/>
    <w:rsid w:val="4671FC03"/>
    <w:rsid w:val="467CCEF2"/>
    <w:rsid w:val="4680C335"/>
    <w:rsid w:val="4683F3B6"/>
    <w:rsid w:val="468ED940"/>
    <w:rsid w:val="469559FE"/>
    <w:rsid w:val="46C5BB83"/>
    <w:rsid w:val="46DB650F"/>
    <w:rsid w:val="46DE7C1D"/>
    <w:rsid w:val="46EB664E"/>
    <w:rsid w:val="470A5B3F"/>
    <w:rsid w:val="47132517"/>
    <w:rsid w:val="472ACC04"/>
    <w:rsid w:val="473FD3F8"/>
    <w:rsid w:val="474B657C"/>
    <w:rsid w:val="4750FC7D"/>
    <w:rsid w:val="47589F4F"/>
    <w:rsid w:val="475D84B2"/>
    <w:rsid w:val="4760C639"/>
    <w:rsid w:val="4766ED57"/>
    <w:rsid w:val="476B0781"/>
    <w:rsid w:val="4790C112"/>
    <w:rsid w:val="47923C44"/>
    <w:rsid w:val="47B9A7A1"/>
    <w:rsid w:val="47C4F80A"/>
    <w:rsid w:val="47DFC5FF"/>
    <w:rsid w:val="47E3B600"/>
    <w:rsid w:val="47EEE228"/>
    <w:rsid w:val="47EFE0D9"/>
    <w:rsid w:val="47FDA4F1"/>
    <w:rsid w:val="481E94AB"/>
    <w:rsid w:val="482DDF90"/>
    <w:rsid w:val="482ED71D"/>
    <w:rsid w:val="48307E64"/>
    <w:rsid w:val="4834CCDE"/>
    <w:rsid w:val="4846EA18"/>
    <w:rsid w:val="485E7483"/>
    <w:rsid w:val="48633F90"/>
    <w:rsid w:val="4879CC40"/>
    <w:rsid w:val="487BCDF1"/>
    <w:rsid w:val="48823533"/>
    <w:rsid w:val="489916E1"/>
    <w:rsid w:val="48A3F2CC"/>
    <w:rsid w:val="48AFE645"/>
    <w:rsid w:val="48C03C54"/>
    <w:rsid w:val="48DE9519"/>
    <w:rsid w:val="48F3158C"/>
    <w:rsid w:val="48FAEE6B"/>
    <w:rsid w:val="4911E282"/>
    <w:rsid w:val="4914FEC1"/>
    <w:rsid w:val="49303343"/>
    <w:rsid w:val="49971672"/>
    <w:rsid w:val="49999219"/>
    <w:rsid w:val="49A6C834"/>
    <w:rsid w:val="49B6C62B"/>
    <w:rsid w:val="49C458D1"/>
    <w:rsid w:val="49C705DA"/>
    <w:rsid w:val="49DD309E"/>
    <w:rsid w:val="49F11B19"/>
    <w:rsid w:val="49F1A995"/>
    <w:rsid w:val="49F2584C"/>
    <w:rsid w:val="49F651C6"/>
    <w:rsid w:val="49F6852B"/>
    <w:rsid w:val="4A2C81BC"/>
    <w:rsid w:val="4A8284DF"/>
    <w:rsid w:val="4AAB7FBF"/>
    <w:rsid w:val="4AAE57E2"/>
    <w:rsid w:val="4AB278C0"/>
    <w:rsid w:val="4ACAAF48"/>
    <w:rsid w:val="4AD7927D"/>
    <w:rsid w:val="4AE19262"/>
    <w:rsid w:val="4B0E1964"/>
    <w:rsid w:val="4B4965BE"/>
    <w:rsid w:val="4B5C13A7"/>
    <w:rsid w:val="4B5EAB28"/>
    <w:rsid w:val="4B69710C"/>
    <w:rsid w:val="4B8DED7A"/>
    <w:rsid w:val="4B9047DF"/>
    <w:rsid w:val="4B9AD0F2"/>
    <w:rsid w:val="4BC225EE"/>
    <w:rsid w:val="4BD0D8C4"/>
    <w:rsid w:val="4BDB45E1"/>
    <w:rsid w:val="4BE5119C"/>
    <w:rsid w:val="4BE98A25"/>
    <w:rsid w:val="4BE9CF29"/>
    <w:rsid w:val="4C1E4202"/>
    <w:rsid w:val="4C3E6B7F"/>
    <w:rsid w:val="4C5B811A"/>
    <w:rsid w:val="4C5BF392"/>
    <w:rsid w:val="4C693CC0"/>
    <w:rsid w:val="4C71A846"/>
    <w:rsid w:val="4C7806C6"/>
    <w:rsid w:val="4CA6E24D"/>
    <w:rsid w:val="4CB167A1"/>
    <w:rsid w:val="4CC9880B"/>
    <w:rsid w:val="4CEFD267"/>
    <w:rsid w:val="4CFBD841"/>
    <w:rsid w:val="4D062660"/>
    <w:rsid w:val="4D24ED97"/>
    <w:rsid w:val="4D386ED2"/>
    <w:rsid w:val="4D3AB609"/>
    <w:rsid w:val="4D74AA56"/>
    <w:rsid w:val="4D9C8C04"/>
    <w:rsid w:val="4DA0E51B"/>
    <w:rsid w:val="4DB40D96"/>
    <w:rsid w:val="4DBFEE74"/>
    <w:rsid w:val="4DD1E9DB"/>
    <w:rsid w:val="4DDCC4C3"/>
    <w:rsid w:val="4DE019C4"/>
    <w:rsid w:val="4DEF898B"/>
    <w:rsid w:val="4DF74B26"/>
    <w:rsid w:val="4E036E54"/>
    <w:rsid w:val="4E0D9243"/>
    <w:rsid w:val="4E1006A0"/>
    <w:rsid w:val="4E155385"/>
    <w:rsid w:val="4E68EC82"/>
    <w:rsid w:val="4E806EAA"/>
    <w:rsid w:val="4E82CAB1"/>
    <w:rsid w:val="4E86BDAF"/>
    <w:rsid w:val="4E9874A1"/>
    <w:rsid w:val="4EBCBCC5"/>
    <w:rsid w:val="4EC880D5"/>
    <w:rsid w:val="4F289B8A"/>
    <w:rsid w:val="4F4B656C"/>
    <w:rsid w:val="4F61B62D"/>
    <w:rsid w:val="4F7E6AB9"/>
    <w:rsid w:val="4F818053"/>
    <w:rsid w:val="4FABE748"/>
    <w:rsid w:val="4FB3F9B1"/>
    <w:rsid w:val="4FCDB8BF"/>
    <w:rsid w:val="4FE52E42"/>
    <w:rsid w:val="4FF872B4"/>
    <w:rsid w:val="500489E9"/>
    <w:rsid w:val="50072F6E"/>
    <w:rsid w:val="500B9EB3"/>
    <w:rsid w:val="501D1D48"/>
    <w:rsid w:val="501D51A3"/>
    <w:rsid w:val="5025462A"/>
    <w:rsid w:val="50292C91"/>
    <w:rsid w:val="5052BDEC"/>
    <w:rsid w:val="506F1277"/>
    <w:rsid w:val="509381FD"/>
    <w:rsid w:val="50B1DA9D"/>
    <w:rsid w:val="511A0CE3"/>
    <w:rsid w:val="517D95C5"/>
    <w:rsid w:val="518180C3"/>
    <w:rsid w:val="518AD547"/>
    <w:rsid w:val="5198E4B2"/>
    <w:rsid w:val="51D0AECF"/>
    <w:rsid w:val="51D7D840"/>
    <w:rsid w:val="51EAE175"/>
    <w:rsid w:val="5208B181"/>
    <w:rsid w:val="521AE27E"/>
    <w:rsid w:val="521FE3DD"/>
    <w:rsid w:val="5230E7D7"/>
    <w:rsid w:val="523EF7DB"/>
    <w:rsid w:val="52758A3E"/>
    <w:rsid w:val="5283E5FC"/>
    <w:rsid w:val="52964C50"/>
    <w:rsid w:val="52A93AC1"/>
    <w:rsid w:val="52C98B2C"/>
    <w:rsid w:val="52D2C3A2"/>
    <w:rsid w:val="52E57F43"/>
    <w:rsid w:val="52EC20F7"/>
    <w:rsid w:val="53316ED3"/>
    <w:rsid w:val="5338EBFD"/>
    <w:rsid w:val="533C41DD"/>
    <w:rsid w:val="533CF24D"/>
    <w:rsid w:val="53500F9D"/>
    <w:rsid w:val="53516CCB"/>
    <w:rsid w:val="535562D3"/>
    <w:rsid w:val="53859950"/>
    <w:rsid w:val="53BE6D4D"/>
    <w:rsid w:val="53DB00F2"/>
    <w:rsid w:val="53E5C3B0"/>
    <w:rsid w:val="53ECE8EE"/>
    <w:rsid w:val="54032914"/>
    <w:rsid w:val="540CBB5E"/>
    <w:rsid w:val="542B6647"/>
    <w:rsid w:val="54319DF4"/>
    <w:rsid w:val="5450B416"/>
    <w:rsid w:val="545F0E77"/>
    <w:rsid w:val="548DD2F0"/>
    <w:rsid w:val="54AB3FCC"/>
    <w:rsid w:val="54AFDC0B"/>
    <w:rsid w:val="54B68FB6"/>
    <w:rsid w:val="54CBB3C4"/>
    <w:rsid w:val="54E42118"/>
    <w:rsid w:val="54FDCD71"/>
    <w:rsid w:val="5545D660"/>
    <w:rsid w:val="554C922D"/>
    <w:rsid w:val="554D4F61"/>
    <w:rsid w:val="55655471"/>
    <w:rsid w:val="559B3FC7"/>
    <w:rsid w:val="55C1747C"/>
    <w:rsid w:val="55C2C701"/>
    <w:rsid w:val="55F2FBCF"/>
    <w:rsid w:val="55F79BF9"/>
    <w:rsid w:val="5612486F"/>
    <w:rsid w:val="561506BF"/>
    <w:rsid w:val="563B47D5"/>
    <w:rsid w:val="56430E52"/>
    <w:rsid w:val="5643E884"/>
    <w:rsid w:val="56453D1A"/>
    <w:rsid w:val="564B3843"/>
    <w:rsid w:val="566EB8B3"/>
    <w:rsid w:val="567B73FC"/>
    <w:rsid w:val="56A07D9A"/>
    <w:rsid w:val="56A3108B"/>
    <w:rsid w:val="56BA069A"/>
    <w:rsid w:val="56BF8299"/>
    <w:rsid w:val="56D9F084"/>
    <w:rsid w:val="56DB7951"/>
    <w:rsid w:val="57169C4B"/>
    <w:rsid w:val="57452D30"/>
    <w:rsid w:val="57686643"/>
    <w:rsid w:val="578D00B8"/>
    <w:rsid w:val="579EA1D3"/>
    <w:rsid w:val="57D28014"/>
    <w:rsid w:val="57D40504"/>
    <w:rsid w:val="57E8A69E"/>
    <w:rsid w:val="580B6D83"/>
    <w:rsid w:val="5820F3D2"/>
    <w:rsid w:val="5867AEED"/>
    <w:rsid w:val="5877E774"/>
    <w:rsid w:val="5878084F"/>
    <w:rsid w:val="58C33304"/>
    <w:rsid w:val="58C5C4FB"/>
    <w:rsid w:val="58DF7B6B"/>
    <w:rsid w:val="58EAC85F"/>
    <w:rsid w:val="58EAE25A"/>
    <w:rsid w:val="590040E9"/>
    <w:rsid w:val="59054B8F"/>
    <w:rsid w:val="5920406D"/>
    <w:rsid w:val="59321D0C"/>
    <w:rsid w:val="5934E3A6"/>
    <w:rsid w:val="595E30C7"/>
    <w:rsid w:val="59A3564A"/>
    <w:rsid w:val="59CBABF0"/>
    <w:rsid w:val="59E321F1"/>
    <w:rsid w:val="59EC2F7A"/>
    <w:rsid w:val="5A43502D"/>
    <w:rsid w:val="5A8275E8"/>
    <w:rsid w:val="5A8FB05E"/>
    <w:rsid w:val="5A9AD4F6"/>
    <w:rsid w:val="5AA43246"/>
    <w:rsid w:val="5AA5ADAE"/>
    <w:rsid w:val="5ACD7E57"/>
    <w:rsid w:val="5ADD4110"/>
    <w:rsid w:val="5AE8966A"/>
    <w:rsid w:val="5AEA66FD"/>
    <w:rsid w:val="5B020706"/>
    <w:rsid w:val="5B02D4E3"/>
    <w:rsid w:val="5B180449"/>
    <w:rsid w:val="5B2AD521"/>
    <w:rsid w:val="5B2D14AB"/>
    <w:rsid w:val="5B46B479"/>
    <w:rsid w:val="5B72DAE4"/>
    <w:rsid w:val="5B8377CA"/>
    <w:rsid w:val="5B88BB9C"/>
    <w:rsid w:val="5B8F98B9"/>
    <w:rsid w:val="5BA73305"/>
    <w:rsid w:val="5BC66F4D"/>
    <w:rsid w:val="5BC9DE9A"/>
    <w:rsid w:val="5BCE07BC"/>
    <w:rsid w:val="5BD28BAA"/>
    <w:rsid w:val="5BF58379"/>
    <w:rsid w:val="5C20BD91"/>
    <w:rsid w:val="5C2AAEEC"/>
    <w:rsid w:val="5C4A2626"/>
    <w:rsid w:val="5C569C54"/>
    <w:rsid w:val="5C57512A"/>
    <w:rsid w:val="5C5F7A14"/>
    <w:rsid w:val="5C7328DB"/>
    <w:rsid w:val="5C7B06E6"/>
    <w:rsid w:val="5C8FC076"/>
    <w:rsid w:val="5CF5E2E4"/>
    <w:rsid w:val="5CF8E68E"/>
    <w:rsid w:val="5D039BF2"/>
    <w:rsid w:val="5D46B5FE"/>
    <w:rsid w:val="5D61ECED"/>
    <w:rsid w:val="5D7AA254"/>
    <w:rsid w:val="5D8625DB"/>
    <w:rsid w:val="5D9EDD8B"/>
    <w:rsid w:val="5DAF7CF7"/>
    <w:rsid w:val="5DB7885D"/>
    <w:rsid w:val="5DC5621D"/>
    <w:rsid w:val="5E05221A"/>
    <w:rsid w:val="5E25191E"/>
    <w:rsid w:val="5E2F8F61"/>
    <w:rsid w:val="5E34CB7F"/>
    <w:rsid w:val="5E356403"/>
    <w:rsid w:val="5E635338"/>
    <w:rsid w:val="5E8FDC52"/>
    <w:rsid w:val="5E93DBFC"/>
    <w:rsid w:val="5EAC02DB"/>
    <w:rsid w:val="5EBBB29A"/>
    <w:rsid w:val="5F003BF5"/>
    <w:rsid w:val="5F13052A"/>
    <w:rsid w:val="5F17FA80"/>
    <w:rsid w:val="5F28859C"/>
    <w:rsid w:val="5F8818AD"/>
    <w:rsid w:val="5F8C7DE0"/>
    <w:rsid w:val="5F8E5613"/>
    <w:rsid w:val="601ED9FD"/>
    <w:rsid w:val="6036B196"/>
    <w:rsid w:val="6050FBE4"/>
    <w:rsid w:val="60528540"/>
    <w:rsid w:val="607D57FB"/>
    <w:rsid w:val="60813804"/>
    <w:rsid w:val="609263AE"/>
    <w:rsid w:val="60CEE5E9"/>
    <w:rsid w:val="60CF636B"/>
    <w:rsid w:val="60D5F607"/>
    <w:rsid w:val="61017FF8"/>
    <w:rsid w:val="610C2D7F"/>
    <w:rsid w:val="6112285B"/>
    <w:rsid w:val="613020F4"/>
    <w:rsid w:val="6139B77B"/>
    <w:rsid w:val="6153D30F"/>
    <w:rsid w:val="615EAFDE"/>
    <w:rsid w:val="61749D82"/>
    <w:rsid w:val="6184A21D"/>
    <w:rsid w:val="618FF181"/>
    <w:rsid w:val="619D19ED"/>
    <w:rsid w:val="61BBE38E"/>
    <w:rsid w:val="61BE3149"/>
    <w:rsid w:val="61D9F419"/>
    <w:rsid w:val="6210DB1F"/>
    <w:rsid w:val="62478050"/>
    <w:rsid w:val="62791FA4"/>
    <w:rsid w:val="62796A45"/>
    <w:rsid w:val="62856D59"/>
    <w:rsid w:val="62A086D1"/>
    <w:rsid w:val="62B53CF7"/>
    <w:rsid w:val="62BB33C6"/>
    <w:rsid w:val="62D06524"/>
    <w:rsid w:val="62EFA6DA"/>
    <w:rsid w:val="62F2A282"/>
    <w:rsid w:val="62F6C0F4"/>
    <w:rsid w:val="62FEC3A6"/>
    <w:rsid w:val="63169601"/>
    <w:rsid w:val="632F854C"/>
    <w:rsid w:val="63398C2D"/>
    <w:rsid w:val="633B6356"/>
    <w:rsid w:val="638FE0EA"/>
    <w:rsid w:val="63E0713C"/>
    <w:rsid w:val="63F2E31C"/>
    <w:rsid w:val="63F38219"/>
    <w:rsid w:val="63F7EDD3"/>
    <w:rsid w:val="63FCE87B"/>
    <w:rsid w:val="6405E701"/>
    <w:rsid w:val="640D86E3"/>
    <w:rsid w:val="641C0BEB"/>
    <w:rsid w:val="644CBDD2"/>
    <w:rsid w:val="64597C0F"/>
    <w:rsid w:val="6471CE18"/>
    <w:rsid w:val="64733556"/>
    <w:rsid w:val="6494EBBE"/>
    <w:rsid w:val="64983EBC"/>
    <w:rsid w:val="6499EB1F"/>
    <w:rsid w:val="64A8ECBF"/>
    <w:rsid w:val="64C2F4B9"/>
    <w:rsid w:val="64CC5C78"/>
    <w:rsid w:val="64E0DB31"/>
    <w:rsid w:val="64E4840E"/>
    <w:rsid w:val="6515F16A"/>
    <w:rsid w:val="6527B655"/>
    <w:rsid w:val="652D10E1"/>
    <w:rsid w:val="652E6A51"/>
    <w:rsid w:val="652FFF5F"/>
    <w:rsid w:val="653005E0"/>
    <w:rsid w:val="65949800"/>
    <w:rsid w:val="659BFD4E"/>
    <w:rsid w:val="65A53603"/>
    <w:rsid w:val="65A816C2"/>
    <w:rsid w:val="65A90BC7"/>
    <w:rsid w:val="65AEFD35"/>
    <w:rsid w:val="65F4381C"/>
    <w:rsid w:val="65F9EB4C"/>
    <w:rsid w:val="65FCAC6B"/>
    <w:rsid w:val="660C832B"/>
    <w:rsid w:val="66473FFB"/>
    <w:rsid w:val="664EF0BC"/>
    <w:rsid w:val="665C3922"/>
    <w:rsid w:val="669266FA"/>
    <w:rsid w:val="6698BFD8"/>
    <w:rsid w:val="66B19413"/>
    <w:rsid w:val="66B9A3C1"/>
    <w:rsid w:val="66C60C63"/>
    <w:rsid w:val="671DFDC2"/>
    <w:rsid w:val="67535E41"/>
    <w:rsid w:val="67808570"/>
    <w:rsid w:val="678D9958"/>
    <w:rsid w:val="67BD488A"/>
    <w:rsid w:val="67C7A8BC"/>
    <w:rsid w:val="67DBBBD4"/>
    <w:rsid w:val="67ED3AC1"/>
    <w:rsid w:val="67FCF231"/>
    <w:rsid w:val="681629C6"/>
    <w:rsid w:val="682F31F9"/>
    <w:rsid w:val="6830C174"/>
    <w:rsid w:val="68395315"/>
    <w:rsid w:val="683A0358"/>
    <w:rsid w:val="683C1E8D"/>
    <w:rsid w:val="684E78B5"/>
    <w:rsid w:val="68598307"/>
    <w:rsid w:val="685AC906"/>
    <w:rsid w:val="685B528A"/>
    <w:rsid w:val="68A1C435"/>
    <w:rsid w:val="68A5E14F"/>
    <w:rsid w:val="68C2596D"/>
    <w:rsid w:val="68FD5FF8"/>
    <w:rsid w:val="690802E2"/>
    <w:rsid w:val="69150CC1"/>
    <w:rsid w:val="691BE740"/>
    <w:rsid w:val="692B9996"/>
    <w:rsid w:val="69388377"/>
    <w:rsid w:val="6961789A"/>
    <w:rsid w:val="69648122"/>
    <w:rsid w:val="696882CE"/>
    <w:rsid w:val="6982CD0B"/>
    <w:rsid w:val="6997A66B"/>
    <w:rsid w:val="699CF690"/>
    <w:rsid w:val="699D49D0"/>
    <w:rsid w:val="6A01985C"/>
    <w:rsid w:val="6A09428F"/>
    <w:rsid w:val="6A352B13"/>
    <w:rsid w:val="6A42A749"/>
    <w:rsid w:val="6A598BFE"/>
    <w:rsid w:val="6A625986"/>
    <w:rsid w:val="6AD9F3B7"/>
    <w:rsid w:val="6ADA4DE0"/>
    <w:rsid w:val="6AF62E3F"/>
    <w:rsid w:val="6B1753B9"/>
    <w:rsid w:val="6B31DBB7"/>
    <w:rsid w:val="6B43DE0C"/>
    <w:rsid w:val="6B599695"/>
    <w:rsid w:val="6B871CCA"/>
    <w:rsid w:val="6B8EAB2D"/>
    <w:rsid w:val="6BB07931"/>
    <w:rsid w:val="6BB4E999"/>
    <w:rsid w:val="6BC09E00"/>
    <w:rsid w:val="6BD60686"/>
    <w:rsid w:val="6BDAF362"/>
    <w:rsid w:val="6C1EC290"/>
    <w:rsid w:val="6C688752"/>
    <w:rsid w:val="6C779088"/>
    <w:rsid w:val="6C9F4BF6"/>
    <w:rsid w:val="6CA05C64"/>
    <w:rsid w:val="6CB3A895"/>
    <w:rsid w:val="6CCD6775"/>
    <w:rsid w:val="6CD9AF37"/>
    <w:rsid w:val="6CEF5533"/>
    <w:rsid w:val="6CF043A5"/>
    <w:rsid w:val="6CF9A947"/>
    <w:rsid w:val="6D015505"/>
    <w:rsid w:val="6D30B182"/>
    <w:rsid w:val="6D3235F5"/>
    <w:rsid w:val="6D7CB84C"/>
    <w:rsid w:val="6D859759"/>
    <w:rsid w:val="6D8DF2D2"/>
    <w:rsid w:val="6DD94BAC"/>
    <w:rsid w:val="6E2DE5D9"/>
    <w:rsid w:val="6E668EE6"/>
    <w:rsid w:val="6E7C4EA7"/>
    <w:rsid w:val="6E7E97ED"/>
    <w:rsid w:val="6E828D86"/>
    <w:rsid w:val="6E907EDC"/>
    <w:rsid w:val="6E929892"/>
    <w:rsid w:val="6EA5830E"/>
    <w:rsid w:val="6ED55990"/>
    <w:rsid w:val="6EDE233D"/>
    <w:rsid w:val="6EE960AB"/>
    <w:rsid w:val="6EFB047A"/>
    <w:rsid w:val="6F066143"/>
    <w:rsid w:val="6F0BDE3B"/>
    <w:rsid w:val="6F0F845F"/>
    <w:rsid w:val="6F170883"/>
    <w:rsid w:val="6F31789B"/>
    <w:rsid w:val="6F3E58AC"/>
    <w:rsid w:val="6F3FA8C1"/>
    <w:rsid w:val="6F43886D"/>
    <w:rsid w:val="6F4C56B3"/>
    <w:rsid w:val="6F52C60D"/>
    <w:rsid w:val="6F91DAD5"/>
    <w:rsid w:val="6F9D6E95"/>
    <w:rsid w:val="6FA3AE40"/>
    <w:rsid w:val="6FA52B74"/>
    <w:rsid w:val="6FAE0D12"/>
    <w:rsid w:val="6FD14F89"/>
    <w:rsid w:val="7004E268"/>
    <w:rsid w:val="70073B19"/>
    <w:rsid w:val="7025EB9F"/>
    <w:rsid w:val="702C6497"/>
    <w:rsid w:val="704CD3BB"/>
    <w:rsid w:val="7078BF21"/>
    <w:rsid w:val="708F2993"/>
    <w:rsid w:val="709B1D38"/>
    <w:rsid w:val="70A704BD"/>
    <w:rsid w:val="70C0DA6B"/>
    <w:rsid w:val="70C29D2C"/>
    <w:rsid w:val="70CA1F1E"/>
    <w:rsid w:val="70DDAC45"/>
    <w:rsid w:val="710B407E"/>
    <w:rsid w:val="71156FC1"/>
    <w:rsid w:val="7137F7D8"/>
    <w:rsid w:val="713E2CD5"/>
    <w:rsid w:val="71497BEC"/>
    <w:rsid w:val="7152B18B"/>
    <w:rsid w:val="71578D11"/>
    <w:rsid w:val="7158CCC3"/>
    <w:rsid w:val="715D93DC"/>
    <w:rsid w:val="71605D91"/>
    <w:rsid w:val="71720641"/>
    <w:rsid w:val="71762233"/>
    <w:rsid w:val="719662A6"/>
    <w:rsid w:val="71A5547F"/>
    <w:rsid w:val="71CBD712"/>
    <w:rsid w:val="71D00B1F"/>
    <w:rsid w:val="71EE9D75"/>
    <w:rsid w:val="71EF424A"/>
    <w:rsid w:val="71F0B74D"/>
    <w:rsid w:val="71F23D8D"/>
    <w:rsid w:val="71F8BB28"/>
    <w:rsid w:val="721DD5C4"/>
    <w:rsid w:val="72370A85"/>
    <w:rsid w:val="723970E8"/>
    <w:rsid w:val="723F664E"/>
    <w:rsid w:val="7264E1B2"/>
    <w:rsid w:val="7272098F"/>
    <w:rsid w:val="72B1FBFB"/>
    <w:rsid w:val="72B258BB"/>
    <w:rsid w:val="72C46DC1"/>
    <w:rsid w:val="72F9096E"/>
    <w:rsid w:val="731A9B5B"/>
    <w:rsid w:val="733CF8D1"/>
    <w:rsid w:val="735779A5"/>
    <w:rsid w:val="735F9857"/>
    <w:rsid w:val="73747A88"/>
    <w:rsid w:val="73B3F3CE"/>
    <w:rsid w:val="73B9E377"/>
    <w:rsid w:val="73CB75F2"/>
    <w:rsid w:val="73F50167"/>
    <w:rsid w:val="741D1091"/>
    <w:rsid w:val="74240491"/>
    <w:rsid w:val="7440BCC5"/>
    <w:rsid w:val="74552C1D"/>
    <w:rsid w:val="7465AFB0"/>
    <w:rsid w:val="746DFD0F"/>
    <w:rsid w:val="74861042"/>
    <w:rsid w:val="74C6A7D5"/>
    <w:rsid w:val="7501052D"/>
    <w:rsid w:val="75080BF4"/>
    <w:rsid w:val="751364BC"/>
    <w:rsid w:val="752B582B"/>
    <w:rsid w:val="75B1A58B"/>
    <w:rsid w:val="75F66FEB"/>
    <w:rsid w:val="75FBF7C7"/>
    <w:rsid w:val="76077DAF"/>
    <w:rsid w:val="763F52B2"/>
    <w:rsid w:val="764C482E"/>
    <w:rsid w:val="76786DE8"/>
    <w:rsid w:val="7680B0E2"/>
    <w:rsid w:val="768A7096"/>
    <w:rsid w:val="76C2984F"/>
    <w:rsid w:val="76C7C10F"/>
    <w:rsid w:val="76DEA46A"/>
    <w:rsid w:val="76E64926"/>
    <w:rsid w:val="7712CA11"/>
    <w:rsid w:val="7739485E"/>
    <w:rsid w:val="77412B49"/>
    <w:rsid w:val="77474BC1"/>
    <w:rsid w:val="77616FDC"/>
    <w:rsid w:val="7777EBC2"/>
    <w:rsid w:val="7795B77F"/>
    <w:rsid w:val="77AA8C4C"/>
    <w:rsid w:val="77AE7C4D"/>
    <w:rsid w:val="77AEE01A"/>
    <w:rsid w:val="77C6A1D1"/>
    <w:rsid w:val="77E47ADC"/>
    <w:rsid w:val="782E0DE1"/>
    <w:rsid w:val="783907C8"/>
    <w:rsid w:val="783A67EC"/>
    <w:rsid w:val="783D5EBC"/>
    <w:rsid w:val="78475ADF"/>
    <w:rsid w:val="784ECAE0"/>
    <w:rsid w:val="785BBD86"/>
    <w:rsid w:val="785CAA5E"/>
    <w:rsid w:val="785E81F8"/>
    <w:rsid w:val="7865F1FE"/>
    <w:rsid w:val="787B0F7E"/>
    <w:rsid w:val="7897B991"/>
    <w:rsid w:val="789866C8"/>
    <w:rsid w:val="789E9636"/>
    <w:rsid w:val="78A0F595"/>
    <w:rsid w:val="78A6149C"/>
    <w:rsid w:val="78E3A5F7"/>
    <w:rsid w:val="7908842A"/>
    <w:rsid w:val="795F0AB8"/>
    <w:rsid w:val="797CEE5B"/>
    <w:rsid w:val="799CCBF9"/>
    <w:rsid w:val="79A6D330"/>
    <w:rsid w:val="79B2973C"/>
    <w:rsid w:val="79ED1830"/>
    <w:rsid w:val="79F01133"/>
    <w:rsid w:val="7A025B0D"/>
    <w:rsid w:val="7A0A9DF5"/>
    <w:rsid w:val="7A0E2711"/>
    <w:rsid w:val="7A143254"/>
    <w:rsid w:val="7A149E6D"/>
    <w:rsid w:val="7A1A3043"/>
    <w:rsid w:val="7A319345"/>
    <w:rsid w:val="7A4EC06A"/>
    <w:rsid w:val="7A5C0A78"/>
    <w:rsid w:val="7A84026D"/>
    <w:rsid w:val="7A9C5636"/>
    <w:rsid w:val="7A9C5A40"/>
    <w:rsid w:val="7AA40ABB"/>
    <w:rsid w:val="7AB7BDA6"/>
    <w:rsid w:val="7AD4F156"/>
    <w:rsid w:val="7AD921DA"/>
    <w:rsid w:val="7ADD1192"/>
    <w:rsid w:val="7AEA1508"/>
    <w:rsid w:val="7B3D5296"/>
    <w:rsid w:val="7B4368C3"/>
    <w:rsid w:val="7B437745"/>
    <w:rsid w:val="7B9600C4"/>
    <w:rsid w:val="7BA0DC07"/>
    <w:rsid w:val="7BB2E0D8"/>
    <w:rsid w:val="7BC438A8"/>
    <w:rsid w:val="7BE3A835"/>
    <w:rsid w:val="7BFCA197"/>
    <w:rsid w:val="7C05A2BE"/>
    <w:rsid w:val="7C567B15"/>
    <w:rsid w:val="7C699C50"/>
    <w:rsid w:val="7C75A7F6"/>
    <w:rsid w:val="7C7C1948"/>
    <w:rsid w:val="7CA77BA0"/>
    <w:rsid w:val="7CABED2B"/>
    <w:rsid w:val="7CB23D80"/>
    <w:rsid w:val="7CC76E1C"/>
    <w:rsid w:val="7CC77D2B"/>
    <w:rsid w:val="7CE2EF31"/>
    <w:rsid w:val="7D28EEA5"/>
    <w:rsid w:val="7D4FA22D"/>
    <w:rsid w:val="7D7D3928"/>
    <w:rsid w:val="7D7DF484"/>
    <w:rsid w:val="7D8AC5BF"/>
    <w:rsid w:val="7DC7E8C6"/>
    <w:rsid w:val="7DD30839"/>
    <w:rsid w:val="7E0497C0"/>
    <w:rsid w:val="7E0A1457"/>
    <w:rsid w:val="7E11B71D"/>
    <w:rsid w:val="7E235ECD"/>
    <w:rsid w:val="7E533E7F"/>
    <w:rsid w:val="7E5F4BF8"/>
    <w:rsid w:val="7E799A3B"/>
    <w:rsid w:val="7E88AB6E"/>
    <w:rsid w:val="7E9DD87A"/>
    <w:rsid w:val="7EACD795"/>
    <w:rsid w:val="7EC8578B"/>
    <w:rsid w:val="7ECBC57E"/>
    <w:rsid w:val="7ED23666"/>
    <w:rsid w:val="7F1172AD"/>
    <w:rsid w:val="7F1CB820"/>
    <w:rsid w:val="7F2FD88C"/>
    <w:rsid w:val="7F300722"/>
    <w:rsid w:val="7F393F48"/>
    <w:rsid w:val="7F3F73CD"/>
    <w:rsid w:val="7F54188C"/>
    <w:rsid w:val="7F8008D8"/>
    <w:rsid w:val="7FA75B94"/>
    <w:rsid w:val="7FA988FD"/>
    <w:rsid w:val="7FB6C64B"/>
    <w:rsid w:val="7FBE644B"/>
    <w:rsid w:val="7FBEA8A0"/>
    <w:rsid w:val="7FC70528"/>
    <w:rsid w:val="7FCF8FF2"/>
    <w:rsid w:val="7FEE3065"/>
    <w:rsid w:val="7FF9C76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3A49E"/>
  <w15:chartTrackingRefBased/>
  <w15:docId w15:val="{0DB3013A-7DE6-4348-94D1-2C9C91C6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98"/>
    <w:pPr>
      <w:spacing w:after="400" w:line="360" w:lineRule="auto"/>
    </w:pPr>
    <w:rPr>
      <w:rFonts w:ascii="Arial" w:hAnsi="Arial"/>
      <w:sz w:val="24"/>
    </w:rPr>
  </w:style>
  <w:style w:type="paragraph" w:styleId="Heading1">
    <w:name w:val="heading 1"/>
    <w:basedOn w:val="Normal"/>
    <w:next w:val="Normal"/>
    <w:link w:val="Heading1Char"/>
    <w:uiPriority w:val="9"/>
    <w:qFormat/>
    <w:rsid w:val="00CE5506"/>
    <w:pPr>
      <w:keepNext/>
      <w:keepLines/>
      <w:outlineLvl w:val="0"/>
    </w:pPr>
    <w:rPr>
      <w:rFonts w:eastAsia="MS Gothic" w:cs="Times New Roman"/>
      <w:b/>
      <w:bCs/>
      <w:color w:val="0A9CA8"/>
      <w:kern w:val="0"/>
      <w:sz w:val="28"/>
      <w:szCs w:val="28"/>
      <w:lang w:eastAsia="en-GB"/>
      <w14:ligatures w14:val="none"/>
    </w:rPr>
  </w:style>
  <w:style w:type="paragraph" w:styleId="Heading2">
    <w:name w:val="heading 2"/>
    <w:basedOn w:val="Normal"/>
    <w:next w:val="Normal"/>
    <w:link w:val="Heading2Char"/>
    <w:uiPriority w:val="9"/>
    <w:unhideWhenUsed/>
    <w:qFormat/>
    <w:rsid w:val="00CE5506"/>
    <w:pPr>
      <w:outlineLvl w:val="1"/>
    </w:pPr>
    <w:rPr>
      <w:rFonts w:eastAsia="MS Gothic" w:cs="Times New Roman"/>
      <w:b/>
      <w:bCs/>
      <w:noProof/>
      <w:color w:val="012E64"/>
      <w:kern w:val="0"/>
      <w:szCs w:val="24"/>
      <w:lang w:eastAsia="en-GB"/>
    </w:rPr>
  </w:style>
  <w:style w:type="paragraph" w:styleId="Heading3">
    <w:name w:val="heading 3"/>
    <w:basedOn w:val="Normal"/>
    <w:next w:val="Normal"/>
    <w:link w:val="Heading3Char"/>
    <w:uiPriority w:val="9"/>
    <w:unhideWhenUsed/>
    <w:qFormat/>
    <w:rsid w:val="00EB61BC"/>
    <w:pPr>
      <w:keepNext/>
      <w:keepLines/>
      <w:outlineLvl w:val="2"/>
    </w:pPr>
    <w:rPr>
      <w:rFonts w:asciiTheme="minorHAnsi" w:eastAsiaTheme="majorEastAsia" w:hAnsiTheme="minorHAnsi" w:cstheme="majorBidi"/>
      <w:i/>
      <w:color w:val="0F4761" w:themeColor="accent1" w:themeShade="BF"/>
      <w:szCs w:val="28"/>
    </w:rPr>
  </w:style>
  <w:style w:type="paragraph" w:styleId="Heading4">
    <w:name w:val="heading 4"/>
    <w:basedOn w:val="Normal"/>
    <w:next w:val="Normal"/>
    <w:link w:val="Heading4Char"/>
    <w:uiPriority w:val="9"/>
    <w:semiHidden/>
    <w:unhideWhenUsed/>
    <w:qFormat/>
    <w:rsid w:val="0034174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4174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417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417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417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417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bulletpoint">
    <w:name w:val="PR bulletpoint"/>
    <w:basedOn w:val="ListParagraph"/>
    <w:qFormat/>
    <w:rsid w:val="00214DBE"/>
    <w:pPr>
      <w:numPr>
        <w:numId w:val="9"/>
      </w:numPr>
      <w:tabs>
        <w:tab w:val="num" w:pos="360"/>
      </w:tabs>
      <w:spacing w:after="200"/>
      <w:ind w:firstLine="0"/>
      <w:contextualSpacing w:val="0"/>
    </w:pPr>
    <w:rPr>
      <w:rFonts w:eastAsia="Calibri" w:cs="Times New Roman"/>
      <w:kern w:val="0"/>
      <w14:ligatures w14:val="none"/>
    </w:rPr>
  </w:style>
  <w:style w:type="paragraph" w:styleId="ListParagraph">
    <w:name w:val="List Paragraph"/>
    <w:basedOn w:val="Normal"/>
    <w:uiPriority w:val="34"/>
    <w:qFormat/>
    <w:rsid w:val="00214DBE"/>
    <w:pPr>
      <w:ind w:left="720"/>
      <w:contextualSpacing/>
    </w:pPr>
  </w:style>
  <w:style w:type="paragraph" w:styleId="NoSpacing">
    <w:name w:val="No Spacing"/>
    <w:uiPriority w:val="1"/>
    <w:qFormat/>
    <w:rsid w:val="00214DBE"/>
    <w:pPr>
      <w:spacing w:after="0" w:line="240" w:lineRule="auto"/>
    </w:pPr>
    <w:rPr>
      <w:rFonts w:ascii="Aptos" w:hAnsi="Aptos"/>
    </w:rPr>
  </w:style>
  <w:style w:type="character" w:customStyle="1" w:styleId="Heading1Char">
    <w:name w:val="Heading 1 Char"/>
    <w:basedOn w:val="DefaultParagraphFont"/>
    <w:link w:val="Heading1"/>
    <w:uiPriority w:val="9"/>
    <w:rsid w:val="00CE5506"/>
    <w:rPr>
      <w:rFonts w:ascii="Arial" w:eastAsia="MS Gothic" w:hAnsi="Arial" w:cs="Times New Roman"/>
      <w:b/>
      <w:bCs/>
      <w:color w:val="0A9CA8"/>
      <w:kern w:val="0"/>
      <w:sz w:val="28"/>
      <w:szCs w:val="28"/>
      <w:lang w:eastAsia="en-GB"/>
      <w14:ligatures w14:val="none"/>
    </w:rPr>
  </w:style>
  <w:style w:type="character" w:customStyle="1" w:styleId="Heading2Char">
    <w:name w:val="Heading 2 Char"/>
    <w:basedOn w:val="DefaultParagraphFont"/>
    <w:link w:val="Heading2"/>
    <w:uiPriority w:val="9"/>
    <w:rsid w:val="00CE5506"/>
    <w:rPr>
      <w:rFonts w:ascii="Arial" w:eastAsia="MS Gothic" w:hAnsi="Arial" w:cs="Times New Roman"/>
      <w:b/>
      <w:bCs/>
      <w:noProof/>
      <w:color w:val="012E64"/>
      <w:kern w:val="0"/>
      <w:sz w:val="24"/>
      <w:szCs w:val="24"/>
      <w:lang w:eastAsia="en-GB"/>
    </w:rPr>
  </w:style>
  <w:style w:type="paragraph" w:styleId="Title">
    <w:name w:val="Title"/>
    <w:basedOn w:val="Normal"/>
    <w:next w:val="Normal"/>
    <w:link w:val="TitleChar"/>
    <w:uiPriority w:val="10"/>
    <w:qFormat/>
    <w:rsid w:val="00214DBE"/>
    <w:pPr>
      <w:spacing w:after="0"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214DBE"/>
    <w:rPr>
      <w:rFonts w:ascii="Aptos" w:eastAsiaTheme="majorEastAsia" w:hAnsi="Aptos" w:cstheme="majorBidi"/>
      <w:b/>
      <w:spacing w:val="-10"/>
      <w:kern w:val="28"/>
      <w:sz w:val="48"/>
      <w:szCs w:val="56"/>
    </w:rPr>
  </w:style>
  <w:style w:type="character" w:customStyle="1" w:styleId="Heading3Char">
    <w:name w:val="Heading 3 Char"/>
    <w:basedOn w:val="DefaultParagraphFont"/>
    <w:link w:val="Heading3"/>
    <w:uiPriority w:val="9"/>
    <w:rsid w:val="00EB61BC"/>
    <w:rPr>
      <w:rFonts w:eastAsiaTheme="majorEastAsia" w:cstheme="majorBidi"/>
      <w:i/>
      <w:color w:val="0F4761" w:themeColor="accent1" w:themeShade="BF"/>
      <w:sz w:val="24"/>
      <w:szCs w:val="28"/>
    </w:rPr>
  </w:style>
  <w:style w:type="character" w:customStyle="1" w:styleId="Heading4Char">
    <w:name w:val="Heading 4 Char"/>
    <w:basedOn w:val="DefaultParagraphFont"/>
    <w:link w:val="Heading4"/>
    <w:uiPriority w:val="9"/>
    <w:semiHidden/>
    <w:rsid w:val="003417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17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17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7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7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74F"/>
    <w:rPr>
      <w:rFonts w:eastAsiaTheme="majorEastAsia" w:cstheme="majorBidi"/>
      <w:color w:val="272727" w:themeColor="text1" w:themeTint="D8"/>
    </w:rPr>
  </w:style>
  <w:style w:type="paragraph" w:styleId="Subtitle">
    <w:name w:val="Subtitle"/>
    <w:basedOn w:val="Normal"/>
    <w:next w:val="Normal"/>
    <w:link w:val="SubtitleChar"/>
    <w:uiPriority w:val="11"/>
    <w:qFormat/>
    <w:rsid w:val="0034174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17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7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174F"/>
    <w:rPr>
      <w:rFonts w:ascii="Aptos" w:hAnsi="Aptos"/>
      <w:i/>
      <w:iCs/>
      <w:color w:val="404040" w:themeColor="text1" w:themeTint="BF"/>
    </w:rPr>
  </w:style>
  <w:style w:type="character" w:styleId="IntenseEmphasis">
    <w:name w:val="Intense Emphasis"/>
    <w:basedOn w:val="DefaultParagraphFont"/>
    <w:uiPriority w:val="21"/>
    <w:qFormat/>
    <w:rsid w:val="0034174F"/>
    <w:rPr>
      <w:i/>
      <w:iCs/>
      <w:color w:val="0F4761" w:themeColor="accent1" w:themeShade="BF"/>
    </w:rPr>
  </w:style>
  <w:style w:type="paragraph" w:styleId="IntenseQuote">
    <w:name w:val="Intense Quote"/>
    <w:basedOn w:val="Normal"/>
    <w:next w:val="Normal"/>
    <w:link w:val="IntenseQuoteChar"/>
    <w:uiPriority w:val="30"/>
    <w:qFormat/>
    <w:rsid w:val="003417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174F"/>
    <w:rPr>
      <w:rFonts w:ascii="Aptos" w:hAnsi="Aptos"/>
      <w:i/>
      <w:iCs/>
      <w:color w:val="0F4761" w:themeColor="accent1" w:themeShade="BF"/>
    </w:rPr>
  </w:style>
  <w:style w:type="character" w:styleId="IntenseReference">
    <w:name w:val="Intense Reference"/>
    <w:basedOn w:val="DefaultParagraphFont"/>
    <w:uiPriority w:val="32"/>
    <w:qFormat/>
    <w:rsid w:val="0034174F"/>
    <w:rPr>
      <w:b/>
      <w:bCs/>
      <w:smallCaps/>
      <w:color w:val="0F4761" w:themeColor="accent1" w:themeShade="BF"/>
      <w:spacing w:val="5"/>
    </w:rPr>
  </w:style>
  <w:style w:type="paragraph" w:styleId="Header">
    <w:name w:val="header"/>
    <w:basedOn w:val="Normal"/>
    <w:link w:val="HeaderChar"/>
    <w:uiPriority w:val="99"/>
    <w:unhideWhenUsed/>
    <w:rsid w:val="00341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74F"/>
    <w:rPr>
      <w:rFonts w:ascii="Aptos" w:hAnsi="Aptos"/>
    </w:rPr>
  </w:style>
  <w:style w:type="paragraph" w:styleId="Footer">
    <w:name w:val="footer"/>
    <w:basedOn w:val="Normal"/>
    <w:link w:val="FooterChar"/>
    <w:uiPriority w:val="99"/>
    <w:unhideWhenUsed/>
    <w:rsid w:val="003417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74F"/>
    <w:rPr>
      <w:rFonts w:ascii="Aptos" w:hAnsi="Aptos"/>
    </w:rPr>
  </w:style>
  <w:style w:type="character" w:styleId="Hyperlink">
    <w:name w:val="Hyperlink"/>
    <w:basedOn w:val="DefaultParagraphFont"/>
    <w:uiPriority w:val="99"/>
    <w:unhideWhenUsed/>
    <w:rsid w:val="00FC7B86"/>
    <w:rPr>
      <w:color w:val="467886" w:themeColor="hyperlink"/>
      <w:u w:val="single"/>
    </w:rPr>
  </w:style>
  <w:style w:type="character" w:styleId="UnresolvedMention">
    <w:name w:val="Unresolved Mention"/>
    <w:basedOn w:val="DefaultParagraphFont"/>
    <w:uiPriority w:val="99"/>
    <w:semiHidden/>
    <w:unhideWhenUsed/>
    <w:rsid w:val="00FC7B86"/>
    <w:rPr>
      <w:color w:val="605E5C"/>
      <w:shd w:val="clear" w:color="auto" w:fill="E1DFDD"/>
    </w:rPr>
  </w:style>
  <w:style w:type="paragraph" w:styleId="FootnoteText">
    <w:name w:val="footnote text"/>
    <w:basedOn w:val="Normal"/>
    <w:link w:val="FootnoteTextChar"/>
    <w:uiPriority w:val="99"/>
    <w:semiHidden/>
    <w:unhideWhenUsed/>
    <w:rsid w:val="00FC7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B86"/>
    <w:rPr>
      <w:rFonts w:ascii="Aptos" w:hAnsi="Aptos"/>
      <w:sz w:val="20"/>
      <w:szCs w:val="20"/>
    </w:rPr>
  </w:style>
  <w:style w:type="character" w:styleId="FootnoteReference">
    <w:name w:val="footnote reference"/>
    <w:basedOn w:val="DefaultParagraphFont"/>
    <w:uiPriority w:val="99"/>
    <w:semiHidden/>
    <w:unhideWhenUsed/>
    <w:rsid w:val="00FC7B86"/>
    <w:rPr>
      <w:vertAlign w:val="superscript"/>
    </w:rPr>
  </w:style>
  <w:style w:type="character" w:styleId="FollowedHyperlink">
    <w:name w:val="FollowedHyperlink"/>
    <w:basedOn w:val="DefaultParagraphFont"/>
    <w:uiPriority w:val="99"/>
    <w:semiHidden/>
    <w:unhideWhenUsed/>
    <w:rsid w:val="00FD342C"/>
    <w:rPr>
      <w:color w:val="96607D" w:themeColor="followedHyperlink"/>
      <w:u w:val="single"/>
    </w:rPr>
  </w:style>
  <w:style w:type="table" w:styleId="TableGrid">
    <w:name w:val="Table Grid"/>
    <w:basedOn w:val="TableNormal"/>
    <w:uiPriority w:val="39"/>
    <w:rsid w:val="006D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1646D"/>
    <w:pPr>
      <w:spacing w:after="0" w:line="240" w:lineRule="auto"/>
    </w:pPr>
    <w:rPr>
      <w:sz w:val="20"/>
      <w:szCs w:val="20"/>
    </w:rPr>
  </w:style>
  <w:style w:type="character" w:customStyle="1" w:styleId="EndnoteTextChar">
    <w:name w:val="Endnote Text Char"/>
    <w:basedOn w:val="DefaultParagraphFont"/>
    <w:link w:val="EndnoteText"/>
    <w:uiPriority w:val="99"/>
    <w:rsid w:val="0011646D"/>
    <w:rPr>
      <w:rFonts w:ascii="Aptos" w:hAnsi="Aptos"/>
      <w:sz w:val="20"/>
      <w:szCs w:val="20"/>
    </w:rPr>
  </w:style>
  <w:style w:type="character" w:styleId="EndnoteReference">
    <w:name w:val="endnote reference"/>
    <w:basedOn w:val="DefaultParagraphFont"/>
    <w:uiPriority w:val="99"/>
    <w:semiHidden/>
    <w:unhideWhenUsed/>
    <w:rsid w:val="0011646D"/>
    <w:rPr>
      <w:vertAlign w:val="superscript"/>
    </w:rPr>
  </w:style>
  <w:style w:type="character" w:styleId="CommentReference">
    <w:name w:val="annotation reference"/>
    <w:basedOn w:val="DefaultParagraphFont"/>
    <w:uiPriority w:val="99"/>
    <w:semiHidden/>
    <w:unhideWhenUsed/>
    <w:rsid w:val="00415C00"/>
    <w:rPr>
      <w:sz w:val="16"/>
      <w:szCs w:val="16"/>
    </w:rPr>
  </w:style>
  <w:style w:type="paragraph" w:styleId="CommentText">
    <w:name w:val="annotation text"/>
    <w:basedOn w:val="Normal"/>
    <w:link w:val="CommentTextChar"/>
    <w:uiPriority w:val="99"/>
    <w:unhideWhenUsed/>
    <w:rsid w:val="00415C00"/>
    <w:pPr>
      <w:spacing w:line="240" w:lineRule="auto"/>
    </w:pPr>
    <w:rPr>
      <w:sz w:val="20"/>
      <w:szCs w:val="20"/>
    </w:rPr>
  </w:style>
  <w:style w:type="character" w:customStyle="1" w:styleId="CommentTextChar">
    <w:name w:val="Comment Text Char"/>
    <w:basedOn w:val="DefaultParagraphFont"/>
    <w:link w:val="CommentText"/>
    <w:uiPriority w:val="99"/>
    <w:rsid w:val="00415C00"/>
    <w:rPr>
      <w:rFonts w:ascii="Aptos" w:hAnsi="Aptos"/>
      <w:sz w:val="20"/>
      <w:szCs w:val="20"/>
    </w:rPr>
  </w:style>
  <w:style w:type="paragraph" w:styleId="CommentSubject">
    <w:name w:val="annotation subject"/>
    <w:basedOn w:val="CommentText"/>
    <w:next w:val="CommentText"/>
    <w:link w:val="CommentSubjectChar"/>
    <w:uiPriority w:val="99"/>
    <w:semiHidden/>
    <w:unhideWhenUsed/>
    <w:rsid w:val="00415C00"/>
    <w:rPr>
      <w:b/>
      <w:bCs/>
    </w:rPr>
  </w:style>
  <w:style w:type="character" w:customStyle="1" w:styleId="CommentSubjectChar">
    <w:name w:val="Comment Subject Char"/>
    <w:basedOn w:val="CommentTextChar"/>
    <w:link w:val="CommentSubject"/>
    <w:uiPriority w:val="99"/>
    <w:semiHidden/>
    <w:rsid w:val="00415C00"/>
    <w:rPr>
      <w:rFonts w:ascii="Aptos" w:hAnsi="Aptos"/>
      <w:b/>
      <w:bCs/>
      <w:sz w:val="20"/>
      <w:szCs w:val="20"/>
    </w:rPr>
  </w:style>
  <w:style w:type="paragraph" w:customStyle="1" w:styleId="Body">
    <w:name w:val="Body"/>
    <w:rsid w:val="00A330C6"/>
    <w:pPr>
      <w:pBdr>
        <w:top w:val="nil"/>
        <w:left w:val="nil"/>
        <w:bottom w:val="nil"/>
        <w:right w:val="nil"/>
        <w:between w:val="nil"/>
        <w:bar w:val="nil"/>
      </w:pBdr>
    </w:pPr>
    <w:rPr>
      <w:rFonts w:ascii="Aptos" w:eastAsia="Aptos" w:hAnsi="Aptos" w:cs="Aptos"/>
      <w:color w:val="000000"/>
      <w:u w:color="000000"/>
      <w:bdr w:val="nil"/>
      <w:lang w:val="en-US" w:eastAsia="en-GB"/>
      <w14:textOutline w14:w="0" w14:cap="flat" w14:cmpd="sng" w14:algn="ctr">
        <w14:noFill/>
        <w14:prstDash w14:val="solid"/>
        <w14:bevel/>
      </w14:textOutline>
      <w14:ligatures w14:val="none"/>
    </w:rPr>
  </w:style>
  <w:style w:type="paragraph" w:customStyle="1" w:styleId="Heading">
    <w:name w:val="Heading"/>
    <w:next w:val="Body"/>
    <w:rsid w:val="00A330C6"/>
    <w:pPr>
      <w:keepNext/>
      <w:keepLines/>
      <w:pBdr>
        <w:top w:val="nil"/>
        <w:left w:val="nil"/>
        <w:bottom w:val="nil"/>
        <w:right w:val="nil"/>
        <w:between w:val="nil"/>
        <w:bar w:val="nil"/>
      </w:pBdr>
      <w:spacing w:before="360" w:after="80" w:line="279" w:lineRule="auto"/>
      <w:outlineLvl w:val="0"/>
    </w:pPr>
    <w:rPr>
      <w:rFonts w:ascii="Aptos" w:eastAsia="Aptos" w:hAnsi="Aptos" w:cs="Aptos"/>
      <w:b/>
      <w:bCs/>
      <w:color w:val="0F4761"/>
      <w:sz w:val="28"/>
      <w:szCs w:val="28"/>
      <w:u w:color="0F4761"/>
      <w:bdr w:val="nil"/>
      <w:lang w:val="fr-FR" w:eastAsia="en-GB"/>
      <w14:textOutline w14:w="0" w14:cap="flat" w14:cmpd="sng" w14:algn="ctr">
        <w14:noFill/>
        <w14:prstDash w14:val="solid"/>
        <w14:bevel/>
      </w14:textOutline>
      <w14:ligatures w14:val="none"/>
    </w:rPr>
  </w:style>
  <w:style w:type="character" w:customStyle="1" w:styleId="Hyperlink0">
    <w:name w:val="Hyperlink.0"/>
    <w:basedOn w:val="Hyperlink"/>
    <w:rsid w:val="00A330C6"/>
    <w:rPr>
      <w:outline w:val="0"/>
      <w:color w:val="467886"/>
      <w:u w:val="single" w:color="467886"/>
    </w:rPr>
  </w:style>
  <w:style w:type="numbering" w:customStyle="1" w:styleId="ImportedStyle2">
    <w:name w:val="Imported Style 2"/>
    <w:rsid w:val="00A330C6"/>
    <w:pPr>
      <w:numPr>
        <w:numId w:val="13"/>
      </w:numPr>
    </w:pPr>
  </w:style>
  <w:style w:type="paragraph" w:styleId="Revision">
    <w:name w:val="Revision"/>
    <w:hidden/>
    <w:uiPriority w:val="99"/>
    <w:semiHidden/>
    <w:rsid w:val="00696615"/>
    <w:pPr>
      <w:spacing w:after="0" w:line="240" w:lineRule="auto"/>
    </w:pPr>
    <w:rPr>
      <w:rFonts w:ascii="Aptos" w:hAnsi="Aptos"/>
    </w:rPr>
  </w:style>
  <w:style w:type="character" w:customStyle="1" w:styleId="header-title">
    <w:name w:val="header-title"/>
    <w:basedOn w:val="DefaultParagraphFont"/>
    <w:rsid w:val="00EE4AA7"/>
  </w:style>
  <w:style w:type="paragraph" w:customStyle="1" w:styleId="p2">
    <w:name w:val="p2"/>
    <w:basedOn w:val="Normal"/>
    <w:rsid w:val="00A11784"/>
    <w:pPr>
      <w:spacing w:after="0" w:line="240" w:lineRule="auto"/>
    </w:pPr>
    <w:rPr>
      <w:rFonts w:ascii="Helvetica" w:eastAsia="Times New Roman" w:hAnsi="Helvetica" w:cs="Times New Roman"/>
      <w:color w:val="000000"/>
      <w:kern w:val="0"/>
      <w:sz w:val="19"/>
      <w:szCs w:val="19"/>
      <w:lang w:eastAsia="en-GB"/>
      <w14:ligatures w14:val="none"/>
    </w:rPr>
  </w:style>
  <w:style w:type="paragraph" w:customStyle="1" w:styleId="p1">
    <w:name w:val="p1"/>
    <w:basedOn w:val="Normal"/>
    <w:rsid w:val="00E8554D"/>
    <w:pPr>
      <w:spacing w:after="0" w:line="240" w:lineRule="auto"/>
    </w:pPr>
    <w:rPr>
      <w:rFonts w:ascii="Helvetica" w:eastAsia="Times New Roman" w:hAnsi="Helvetica" w:cs="Times New Roman"/>
      <w:color w:val="000000"/>
      <w:kern w:val="0"/>
      <w:sz w:val="28"/>
      <w:szCs w:val="28"/>
      <w:lang w:eastAsia="en-GB"/>
      <w14:ligatures w14:val="none"/>
    </w:rPr>
  </w:style>
  <w:style w:type="paragraph" w:styleId="TOCHeading">
    <w:name w:val="TOC Heading"/>
    <w:basedOn w:val="Heading1"/>
    <w:next w:val="Normal"/>
    <w:uiPriority w:val="39"/>
    <w:unhideWhenUsed/>
    <w:qFormat/>
    <w:rsid w:val="00C55B26"/>
    <w:pPr>
      <w:spacing w:before="240" w:after="0" w:line="259" w:lineRule="auto"/>
      <w:outlineLvl w:val="9"/>
    </w:pPr>
    <w:rPr>
      <w:rFonts w:asciiTheme="majorHAnsi" w:hAnsiTheme="majorHAnsi"/>
      <w:b w:val="0"/>
      <w:sz w:val="32"/>
      <w:szCs w:val="32"/>
      <w:lang w:val="en-US"/>
    </w:rPr>
  </w:style>
  <w:style w:type="paragraph" w:styleId="TOC1">
    <w:name w:val="toc 1"/>
    <w:basedOn w:val="Normal"/>
    <w:next w:val="Normal"/>
    <w:autoRedefine/>
    <w:uiPriority w:val="39"/>
    <w:unhideWhenUsed/>
    <w:rsid w:val="00C55B26"/>
    <w:pPr>
      <w:spacing w:after="100"/>
    </w:pPr>
  </w:style>
  <w:style w:type="paragraph" w:styleId="TOC2">
    <w:name w:val="toc 2"/>
    <w:basedOn w:val="Normal"/>
    <w:next w:val="Normal"/>
    <w:autoRedefine/>
    <w:uiPriority w:val="39"/>
    <w:unhideWhenUsed/>
    <w:rsid w:val="00C55B26"/>
    <w:pPr>
      <w:spacing w:after="100"/>
      <w:ind w:left="220"/>
    </w:pPr>
  </w:style>
  <w:style w:type="paragraph" w:styleId="TOC3">
    <w:name w:val="toc 3"/>
    <w:basedOn w:val="Normal"/>
    <w:next w:val="Normal"/>
    <w:autoRedefine/>
    <w:uiPriority w:val="39"/>
    <w:unhideWhenUsed/>
    <w:rsid w:val="00C55B26"/>
    <w:pPr>
      <w:spacing w:after="100"/>
      <w:ind w:left="440"/>
    </w:pPr>
  </w:style>
  <w:style w:type="paragraph" w:styleId="TOC4">
    <w:name w:val="toc 4"/>
    <w:basedOn w:val="Normal"/>
    <w:next w:val="Normal"/>
    <w:autoRedefine/>
    <w:uiPriority w:val="39"/>
    <w:unhideWhenUsed/>
    <w:rsid w:val="00C55B26"/>
    <w:pPr>
      <w:spacing w:after="100" w:line="278" w:lineRule="auto"/>
      <w:ind w:left="720"/>
    </w:pPr>
    <w:rPr>
      <w:rFonts w:asciiTheme="minorHAnsi" w:eastAsiaTheme="minorEastAsia" w:hAnsiTheme="minorHAnsi"/>
      <w:szCs w:val="24"/>
      <w:lang w:eastAsia="en-GB"/>
    </w:rPr>
  </w:style>
  <w:style w:type="paragraph" w:styleId="TOC5">
    <w:name w:val="toc 5"/>
    <w:basedOn w:val="Normal"/>
    <w:next w:val="Normal"/>
    <w:autoRedefine/>
    <w:uiPriority w:val="39"/>
    <w:unhideWhenUsed/>
    <w:rsid w:val="00C55B26"/>
    <w:pPr>
      <w:spacing w:after="100" w:line="278" w:lineRule="auto"/>
      <w:ind w:left="960"/>
    </w:pPr>
    <w:rPr>
      <w:rFonts w:asciiTheme="minorHAnsi" w:eastAsiaTheme="minorEastAsia" w:hAnsiTheme="minorHAnsi"/>
      <w:szCs w:val="24"/>
      <w:lang w:eastAsia="en-GB"/>
    </w:rPr>
  </w:style>
  <w:style w:type="paragraph" w:styleId="TOC6">
    <w:name w:val="toc 6"/>
    <w:basedOn w:val="Normal"/>
    <w:next w:val="Normal"/>
    <w:autoRedefine/>
    <w:uiPriority w:val="39"/>
    <w:unhideWhenUsed/>
    <w:rsid w:val="00C55B26"/>
    <w:pPr>
      <w:spacing w:after="100" w:line="278" w:lineRule="auto"/>
      <w:ind w:left="1200"/>
    </w:pPr>
    <w:rPr>
      <w:rFonts w:asciiTheme="minorHAnsi" w:eastAsiaTheme="minorEastAsia" w:hAnsiTheme="minorHAnsi"/>
      <w:szCs w:val="24"/>
      <w:lang w:eastAsia="en-GB"/>
    </w:rPr>
  </w:style>
  <w:style w:type="paragraph" w:styleId="TOC7">
    <w:name w:val="toc 7"/>
    <w:basedOn w:val="Normal"/>
    <w:next w:val="Normal"/>
    <w:autoRedefine/>
    <w:uiPriority w:val="39"/>
    <w:unhideWhenUsed/>
    <w:rsid w:val="00C55B26"/>
    <w:pPr>
      <w:spacing w:after="100" w:line="278" w:lineRule="auto"/>
      <w:ind w:left="1440"/>
    </w:pPr>
    <w:rPr>
      <w:rFonts w:asciiTheme="minorHAnsi" w:eastAsiaTheme="minorEastAsia" w:hAnsiTheme="minorHAnsi"/>
      <w:szCs w:val="24"/>
      <w:lang w:eastAsia="en-GB"/>
    </w:rPr>
  </w:style>
  <w:style w:type="paragraph" w:styleId="TOC8">
    <w:name w:val="toc 8"/>
    <w:basedOn w:val="Normal"/>
    <w:next w:val="Normal"/>
    <w:autoRedefine/>
    <w:uiPriority w:val="39"/>
    <w:unhideWhenUsed/>
    <w:rsid w:val="00C55B26"/>
    <w:pPr>
      <w:spacing w:after="100" w:line="278" w:lineRule="auto"/>
      <w:ind w:left="1680"/>
    </w:pPr>
    <w:rPr>
      <w:rFonts w:asciiTheme="minorHAnsi" w:eastAsiaTheme="minorEastAsia" w:hAnsiTheme="minorHAnsi"/>
      <w:szCs w:val="24"/>
      <w:lang w:eastAsia="en-GB"/>
    </w:rPr>
  </w:style>
  <w:style w:type="paragraph" w:styleId="TOC9">
    <w:name w:val="toc 9"/>
    <w:basedOn w:val="Normal"/>
    <w:next w:val="Normal"/>
    <w:autoRedefine/>
    <w:uiPriority w:val="39"/>
    <w:unhideWhenUsed/>
    <w:rsid w:val="00C55B26"/>
    <w:pPr>
      <w:spacing w:after="100" w:line="278" w:lineRule="auto"/>
      <w:ind w:left="1920"/>
    </w:pPr>
    <w:rPr>
      <w:rFonts w:asciiTheme="minorHAnsi" w:eastAsiaTheme="minorEastAsia" w:hAnsiTheme="minorHAnsi"/>
      <w:szCs w:val="24"/>
      <w:lang w:eastAsia="en-GB"/>
    </w:rPr>
  </w:style>
  <w:style w:type="character" w:styleId="Mention">
    <w:name w:val="Mention"/>
    <w:basedOn w:val="DefaultParagraphFont"/>
    <w:uiPriority w:val="99"/>
    <w:unhideWhenUsed/>
    <w:rsid w:val="0099572D"/>
    <w:rPr>
      <w:color w:val="2B579A"/>
      <w:shd w:val="clear" w:color="auto" w:fill="E1DFDD"/>
    </w:rPr>
  </w:style>
  <w:style w:type="character" w:customStyle="1" w:styleId="A10">
    <w:name w:val="A10"/>
    <w:uiPriority w:val="99"/>
    <w:rsid w:val="002266BC"/>
    <w:rPr>
      <w:rFonts w:cs="Montserrat Thin"/>
      <w:color w:val="012D63"/>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788796">
      <w:bodyDiv w:val="1"/>
      <w:marLeft w:val="0"/>
      <w:marRight w:val="0"/>
      <w:marTop w:val="0"/>
      <w:marBottom w:val="0"/>
      <w:divBdr>
        <w:top w:val="none" w:sz="0" w:space="0" w:color="auto"/>
        <w:left w:val="none" w:sz="0" w:space="0" w:color="auto"/>
        <w:bottom w:val="none" w:sz="0" w:space="0" w:color="auto"/>
        <w:right w:val="none" w:sz="0" w:space="0" w:color="auto"/>
      </w:divBdr>
    </w:div>
    <w:div w:id="432215118">
      <w:bodyDiv w:val="1"/>
      <w:marLeft w:val="0"/>
      <w:marRight w:val="0"/>
      <w:marTop w:val="0"/>
      <w:marBottom w:val="0"/>
      <w:divBdr>
        <w:top w:val="none" w:sz="0" w:space="0" w:color="auto"/>
        <w:left w:val="none" w:sz="0" w:space="0" w:color="auto"/>
        <w:bottom w:val="none" w:sz="0" w:space="0" w:color="auto"/>
        <w:right w:val="none" w:sz="0" w:space="0" w:color="auto"/>
      </w:divBdr>
    </w:div>
    <w:div w:id="714236657">
      <w:bodyDiv w:val="1"/>
      <w:marLeft w:val="0"/>
      <w:marRight w:val="0"/>
      <w:marTop w:val="0"/>
      <w:marBottom w:val="0"/>
      <w:divBdr>
        <w:top w:val="none" w:sz="0" w:space="0" w:color="auto"/>
        <w:left w:val="none" w:sz="0" w:space="0" w:color="auto"/>
        <w:bottom w:val="none" w:sz="0" w:space="0" w:color="auto"/>
        <w:right w:val="none" w:sz="0" w:space="0" w:color="auto"/>
      </w:divBdr>
    </w:div>
    <w:div w:id="792095704">
      <w:bodyDiv w:val="1"/>
      <w:marLeft w:val="0"/>
      <w:marRight w:val="0"/>
      <w:marTop w:val="0"/>
      <w:marBottom w:val="0"/>
      <w:divBdr>
        <w:top w:val="none" w:sz="0" w:space="0" w:color="auto"/>
        <w:left w:val="none" w:sz="0" w:space="0" w:color="auto"/>
        <w:bottom w:val="none" w:sz="0" w:space="0" w:color="auto"/>
        <w:right w:val="none" w:sz="0" w:space="0" w:color="auto"/>
      </w:divBdr>
    </w:div>
    <w:div w:id="1145470286">
      <w:bodyDiv w:val="1"/>
      <w:marLeft w:val="0"/>
      <w:marRight w:val="0"/>
      <w:marTop w:val="0"/>
      <w:marBottom w:val="0"/>
      <w:divBdr>
        <w:top w:val="none" w:sz="0" w:space="0" w:color="auto"/>
        <w:left w:val="none" w:sz="0" w:space="0" w:color="auto"/>
        <w:bottom w:val="none" w:sz="0" w:space="0" w:color="auto"/>
        <w:right w:val="none" w:sz="0" w:space="0" w:color="auto"/>
      </w:divBdr>
    </w:div>
    <w:div w:id="1204756305">
      <w:bodyDiv w:val="1"/>
      <w:marLeft w:val="0"/>
      <w:marRight w:val="0"/>
      <w:marTop w:val="0"/>
      <w:marBottom w:val="0"/>
      <w:divBdr>
        <w:top w:val="none" w:sz="0" w:space="0" w:color="auto"/>
        <w:left w:val="none" w:sz="0" w:space="0" w:color="auto"/>
        <w:bottom w:val="none" w:sz="0" w:space="0" w:color="auto"/>
        <w:right w:val="none" w:sz="0" w:space="0" w:color="auto"/>
      </w:divBdr>
      <w:divsChild>
        <w:div w:id="392431582">
          <w:marLeft w:val="116"/>
          <w:marRight w:val="116"/>
          <w:marTop w:val="0"/>
          <w:marBottom w:val="0"/>
          <w:divBdr>
            <w:top w:val="none" w:sz="0" w:space="0" w:color="auto"/>
            <w:left w:val="none" w:sz="0" w:space="0" w:color="auto"/>
            <w:bottom w:val="none" w:sz="0" w:space="0" w:color="auto"/>
            <w:right w:val="none" w:sz="0" w:space="0" w:color="auto"/>
          </w:divBdr>
          <w:divsChild>
            <w:div w:id="494616154">
              <w:marLeft w:val="0"/>
              <w:marRight w:val="0"/>
              <w:marTop w:val="0"/>
              <w:marBottom w:val="0"/>
              <w:divBdr>
                <w:top w:val="none" w:sz="0" w:space="0" w:color="auto"/>
                <w:left w:val="none" w:sz="0" w:space="0" w:color="auto"/>
                <w:bottom w:val="none" w:sz="0" w:space="0" w:color="auto"/>
                <w:right w:val="none" w:sz="0" w:space="0" w:color="auto"/>
              </w:divBdr>
              <w:divsChild>
                <w:div w:id="777069164">
                  <w:marLeft w:val="0"/>
                  <w:marRight w:val="0"/>
                  <w:marTop w:val="0"/>
                  <w:marBottom w:val="0"/>
                  <w:divBdr>
                    <w:top w:val="none" w:sz="0" w:space="0" w:color="auto"/>
                    <w:left w:val="none" w:sz="0" w:space="0" w:color="auto"/>
                    <w:bottom w:val="none" w:sz="0" w:space="0" w:color="auto"/>
                    <w:right w:val="none" w:sz="0" w:space="0" w:color="auto"/>
                  </w:divBdr>
                  <w:divsChild>
                    <w:div w:id="1751464965">
                      <w:marLeft w:val="0"/>
                      <w:marRight w:val="0"/>
                      <w:marTop w:val="0"/>
                      <w:marBottom w:val="0"/>
                      <w:divBdr>
                        <w:top w:val="none" w:sz="0" w:space="0" w:color="auto"/>
                        <w:left w:val="none" w:sz="0" w:space="0" w:color="auto"/>
                        <w:bottom w:val="none" w:sz="0" w:space="0" w:color="auto"/>
                        <w:right w:val="none" w:sz="0" w:space="0" w:color="auto"/>
                      </w:divBdr>
                      <w:divsChild>
                        <w:div w:id="1257442054">
                          <w:marLeft w:val="0"/>
                          <w:marRight w:val="0"/>
                          <w:marTop w:val="0"/>
                          <w:marBottom w:val="0"/>
                          <w:divBdr>
                            <w:top w:val="none" w:sz="0" w:space="0" w:color="auto"/>
                            <w:left w:val="none" w:sz="0" w:space="0" w:color="auto"/>
                            <w:bottom w:val="none" w:sz="0" w:space="0" w:color="auto"/>
                            <w:right w:val="none" w:sz="0" w:space="0" w:color="auto"/>
                          </w:divBdr>
                          <w:divsChild>
                            <w:div w:id="1831556911">
                              <w:marLeft w:val="0"/>
                              <w:marRight w:val="0"/>
                              <w:marTop w:val="0"/>
                              <w:marBottom w:val="0"/>
                              <w:divBdr>
                                <w:top w:val="none" w:sz="0" w:space="0" w:color="auto"/>
                                <w:left w:val="none" w:sz="0" w:space="0" w:color="auto"/>
                                <w:bottom w:val="none" w:sz="0" w:space="0" w:color="auto"/>
                                <w:right w:val="none" w:sz="0" w:space="0" w:color="auto"/>
                              </w:divBdr>
                              <w:divsChild>
                                <w:div w:id="1141850753">
                                  <w:marLeft w:val="0"/>
                                  <w:marRight w:val="0"/>
                                  <w:marTop w:val="0"/>
                                  <w:marBottom w:val="0"/>
                                  <w:divBdr>
                                    <w:top w:val="none" w:sz="0" w:space="0" w:color="auto"/>
                                    <w:left w:val="none" w:sz="0" w:space="0" w:color="auto"/>
                                    <w:bottom w:val="none" w:sz="0" w:space="0" w:color="auto"/>
                                    <w:right w:val="none" w:sz="0" w:space="0" w:color="auto"/>
                                  </w:divBdr>
                                  <w:divsChild>
                                    <w:div w:id="1770664371">
                                      <w:marLeft w:val="0"/>
                                      <w:marRight w:val="0"/>
                                      <w:marTop w:val="0"/>
                                      <w:marBottom w:val="0"/>
                                      <w:divBdr>
                                        <w:top w:val="none" w:sz="0" w:space="0" w:color="auto"/>
                                        <w:left w:val="none" w:sz="0" w:space="0" w:color="auto"/>
                                        <w:bottom w:val="none" w:sz="0" w:space="0" w:color="auto"/>
                                        <w:right w:val="none" w:sz="0" w:space="0" w:color="auto"/>
                                      </w:divBdr>
                                      <w:divsChild>
                                        <w:div w:id="1368917589">
                                          <w:marLeft w:val="0"/>
                                          <w:marRight w:val="0"/>
                                          <w:marTop w:val="0"/>
                                          <w:marBottom w:val="0"/>
                                          <w:divBdr>
                                            <w:top w:val="none" w:sz="0" w:space="0" w:color="auto"/>
                                            <w:left w:val="none" w:sz="0" w:space="0" w:color="auto"/>
                                            <w:bottom w:val="none" w:sz="0" w:space="0" w:color="auto"/>
                                            <w:right w:val="none" w:sz="0" w:space="0" w:color="auto"/>
                                          </w:divBdr>
                                          <w:divsChild>
                                            <w:div w:id="2074114719">
                                              <w:marLeft w:val="0"/>
                                              <w:marRight w:val="0"/>
                                              <w:marTop w:val="0"/>
                                              <w:marBottom w:val="0"/>
                                              <w:divBdr>
                                                <w:top w:val="none" w:sz="0" w:space="0" w:color="auto"/>
                                                <w:left w:val="none" w:sz="0" w:space="0" w:color="auto"/>
                                                <w:bottom w:val="none" w:sz="0" w:space="0" w:color="auto"/>
                                                <w:right w:val="none" w:sz="0" w:space="0" w:color="auto"/>
                                              </w:divBdr>
                                              <w:divsChild>
                                                <w:div w:id="653875906">
                                                  <w:marLeft w:val="0"/>
                                                  <w:marRight w:val="0"/>
                                                  <w:marTop w:val="0"/>
                                                  <w:marBottom w:val="0"/>
                                                  <w:divBdr>
                                                    <w:top w:val="none" w:sz="0" w:space="0" w:color="auto"/>
                                                    <w:left w:val="none" w:sz="0" w:space="0" w:color="auto"/>
                                                    <w:bottom w:val="none" w:sz="0" w:space="0" w:color="auto"/>
                                                    <w:right w:val="none" w:sz="0" w:space="0" w:color="auto"/>
                                                  </w:divBdr>
                                                </w:div>
                                                <w:div w:id="1283682799">
                                                  <w:marLeft w:val="0"/>
                                                  <w:marRight w:val="0"/>
                                                  <w:marTop w:val="0"/>
                                                  <w:marBottom w:val="0"/>
                                                  <w:divBdr>
                                                    <w:top w:val="none" w:sz="0" w:space="0" w:color="auto"/>
                                                    <w:left w:val="none" w:sz="0" w:space="0" w:color="auto"/>
                                                    <w:bottom w:val="none" w:sz="0" w:space="0" w:color="auto"/>
                                                    <w:right w:val="none" w:sz="0" w:space="0" w:color="auto"/>
                                                  </w:divBdr>
                                                  <w:divsChild>
                                                    <w:div w:id="175004991">
                                                      <w:marLeft w:val="0"/>
                                                      <w:marRight w:val="0"/>
                                                      <w:marTop w:val="0"/>
                                                      <w:marBottom w:val="0"/>
                                                      <w:divBdr>
                                                        <w:top w:val="none" w:sz="0" w:space="0" w:color="auto"/>
                                                        <w:left w:val="none" w:sz="0" w:space="0" w:color="auto"/>
                                                        <w:bottom w:val="none" w:sz="0" w:space="0" w:color="auto"/>
                                                        <w:right w:val="none" w:sz="0" w:space="0" w:color="auto"/>
                                                      </w:divBdr>
                                                      <w:divsChild>
                                                        <w:div w:id="1804107548">
                                                          <w:marLeft w:val="0"/>
                                                          <w:marRight w:val="0"/>
                                                          <w:marTop w:val="0"/>
                                                          <w:marBottom w:val="0"/>
                                                          <w:divBdr>
                                                            <w:top w:val="none" w:sz="0" w:space="0" w:color="auto"/>
                                                            <w:left w:val="none" w:sz="0" w:space="0" w:color="auto"/>
                                                            <w:bottom w:val="none" w:sz="0" w:space="0" w:color="auto"/>
                                                            <w:right w:val="none" w:sz="0" w:space="0" w:color="auto"/>
                                                          </w:divBdr>
                                                          <w:divsChild>
                                                            <w:div w:id="18926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1429765">
          <w:marLeft w:val="116"/>
          <w:marRight w:val="116"/>
          <w:marTop w:val="0"/>
          <w:marBottom w:val="0"/>
          <w:divBdr>
            <w:top w:val="none" w:sz="0" w:space="0" w:color="auto"/>
            <w:left w:val="none" w:sz="0" w:space="0" w:color="auto"/>
            <w:bottom w:val="none" w:sz="0" w:space="0" w:color="auto"/>
            <w:right w:val="none" w:sz="0" w:space="0" w:color="auto"/>
          </w:divBdr>
          <w:divsChild>
            <w:div w:id="2093160108">
              <w:marLeft w:val="0"/>
              <w:marRight w:val="0"/>
              <w:marTop w:val="0"/>
              <w:marBottom w:val="0"/>
              <w:divBdr>
                <w:top w:val="none" w:sz="0" w:space="0" w:color="auto"/>
                <w:left w:val="none" w:sz="0" w:space="0" w:color="auto"/>
                <w:bottom w:val="none" w:sz="0" w:space="0" w:color="auto"/>
                <w:right w:val="none" w:sz="0" w:space="0" w:color="auto"/>
              </w:divBdr>
              <w:divsChild>
                <w:div w:id="1594164731">
                  <w:marLeft w:val="105"/>
                  <w:marRight w:val="105"/>
                  <w:marTop w:val="0"/>
                  <w:marBottom w:val="0"/>
                  <w:divBdr>
                    <w:top w:val="none" w:sz="0" w:space="0" w:color="auto"/>
                    <w:left w:val="none" w:sz="0" w:space="0" w:color="auto"/>
                    <w:bottom w:val="none" w:sz="0" w:space="0" w:color="auto"/>
                    <w:right w:val="none" w:sz="0" w:space="0" w:color="auto"/>
                  </w:divBdr>
                  <w:divsChild>
                    <w:div w:id="1480997648">
                      <w:marLeft w:val="0"/>
                      <w:marRight w:val="0"/>
                      <w:marTop w:val="0"/>
                      <w:marBottom w:val="0"/>
                      <w:divBdr>
                        <w:top w:val="none" w:sz="0" w:space="0" w:color="auto"/>
                        <w:left w:val="none" w:sz="0" w:space="0" w:color="auto"/>
                        <w:bottom w:val="none" w:sz="0" w:space="0" w:color="auto"/>
                        <w:right w:val="none" w:sz="0" w:space="0" w:color="auto"/>
                      </w:divBdr>
                      <w:divsChild>
                        <w:div w:id="536045517">
                          <w:marLeft w:val="0"/>
                          <w:marRight w:val="0"/>
                          <w:marTop w:val="0"/>
                          <w:marBottom w:val="0"/>
                          <w:divBdr>
                            <w:top w:val="none" w:sz="0" w:space="0" w:color="auto"/>
                            <w:left w:val="none" w:sz="0" w:space="0" w:color="auto"/>
                            <w:bottom w:val="none" w:sz="0" w:space="0" w:color="auto"/>
                            <w:right w:val="none" w:sz="0" w:space="0" w:color="auto"/>
                          </w:divBdr>
                          <w:divsChild>
                            <w:div w:id="1614707501">
                              <w:marLeft w:val="0"/>
                              <w:marRight w:val="0"/>
                              <w:marTop w:val="0"/>
                              <w:marBottom w:val="0"/>
                              <w:divBdr>
                                <w:top w:val="none" w:sz="0" w:space="0" w:color="auto"/>
                                <w:left w:val="none" w:sz="0" w:space="0" w:color="auto"/>
                                <w:bottom w:val="none" w:sz="0" w:space="0" w:color="auto"/>
                                <w:right w:val="none" w:sz="0" w:space="0" w:color="auto"/>
                              </w:divBdr>
                              <w:divsChild>
                                <w:div w:id="1001465541">
                                  <w:marLeft w:val="0"/>
                                  <w:marRight w:val="0"/>
                                  <w:marTop w:val="0"/>
                                  <w:marBottom w:val="0"/>
                                  <w:divBdr>
                                    <w:top w:val="none" w:sz="0" w:space="0" w:color="auto"/>
                                    <w:left w:val="none" w:sz="0" w:space="0" w:color="auto"/>
                                    <w:bottom w:val="none" w:sz="0" w:space="0" w:color="auto"/>
                                    <w:right w:val="none" w:sz="0" w:space="0" w:color="auto"/>
                                  </w:divBdr>
                                  <w:divsChild>
                                    <w:div w:id="1884244738">
                                      <w:marLeft w:val="0"/>
                                      <w:marRight w:val="0"/>
                                      <w:marTop w:val="0"/>
                                      <w:marBottom w:val="0"/>
                                      <w:divBdr>
                                        <w:top w:val="none" w:sz="0" w:space="0" w:color="auto"/>
                                        <w:left w:val="none" w:sz="0" w:space="0" w:color="auto"/>
                                        <w:bottom w:val="none" w:sz="0" w:space="0" w:color="auto"/>
                                        <w:right w:val="none" w:sz="0" w:space="0" w:color="auto"/>
                                      </w:divBdr>
                                      <w:divsChild>
                                        <w:div w:id="973607299">
                                          <w:marLeft w:val="0"/>
                                          <w:marRight w:val="0"/>
                                          <w:marTop w:val="0"/>
                                          <w:marBottom w:val="0"/>
                                          <w:divBdr>
                                            <w:top w:val="none" w:sz="0" w:space="0" w:color="auto"/>
                                            <w:left w:val="none" w:sz="0" w:space="0" w:color="auto"/>
                                            <w:bottom w:val="none" w:sz="0" w:space="0" w:color="auto"/>
                                            <w:right w:val="none" w:sz="0" w:space="0" w:color="auto"/>
                                          </w:divBdr>
                                        </w:div>
                                        <w:div w:id="16682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149545">
      <w:bodyDiv w:val="1"/>
      <w:marLeft w:val="0"/>
      <w:marRight w:val="0"/>
      <w:marTop w:val="0"/>
      <w:marBottom w:val="0"/>
      <w:divBdr>
        <w:top w:val="none" w:sz="0" w:space="0" w:color="auto"/>
        <w:left w:val="none" w:sz="0" w:space="0" w:color="auto"/>
        <w:bottom w:val="none" w:sz="0" w:space="0" w:color="auto"/>
        <w:right w:val="none" w:sz="0" w:space="0" w:color="auto"/>
      </w:divBdr>
      <w:divsChild>
        <w:div w:id="1031760891">
          <w:marLeft w:val="116"/>
          <w:marRight w:val="116"/>
          <w:marTop w:val="0"/>
          <w:marBottom w:val="0"/>
          <w:divBdr>
            <w:top w:val="none" w:sz="0" w:space="0" w:color="auto"/>
            <w:left w:val="none" w:sz="0" w:space="0" w:color="auto"/>
            <w:bottom w:val="none" w:sz="0" w:space="0" w:color="auto"/>
            <w:right w:val="none" w:sz="0" w:space="0" w:color="auto"/>
          </w:divBdr>
          <w:divsChild>
            <w:div w:id="745803018">
              <w:marLeft w:val="0"/>
              <w:marRight w:val="0"/>
              <w:marTop w:val="0"/>
              <w:marBottom w:val="0"/>
              <w:divBdr>
                <w:top w:val="none" w:sz="0" w:space="0" w:color="auto"/>
                <w:left w:val="none" w:sz="0" w:space="0" w:color="auto"/>
                <w:bottom w:val="none" w:sz="0" w:space="0" w:color="auto"/>
                <w:right w:val="none" w:sz="0" w:space="0" w:color="auto"/>
              </w:divBdr>
              <w:divsChild>
                <w:div w:id="634987971">
                  <w:marLeft w:val="105"/>
                  <w:marRight w:val="105"/>
                  <w:marTop w:val="0"/>
                  <w:marBottom w:val="0"/>
                  <w:divBdr>
                    <w:top w:val="none" w:sz="0" w:space="0" w:color="auto"/>
                    <w:left w:val="none" w:sz="0" w:space="0" w:color="auto"/>
                    <w:bottom w:val="none" w:sz="0" w:space="0" w:color="auto"/>
                    <w:right w:val="none" w:sz="0" w:space="0" w:color="auto"/>
                  </w:divBdr>
                  <w:divsChild>
                    <w:div w:id="220210103">
                      <w:marLeft w:val="0"/>
                      <w:marRight w:val="0"/>
                      <w:marTop w:val="0"/>
                      <w:marBottom w:val="0"/>
                      <w:divBdr>
                        <w:top w:val="none" w:sz="0" w:space="0" w:color="auto"/>
                        <w:left w:val="none" w:sz="0" w:space="0" w:color="auto"/>
                        <w:bottom w:val="none" w:sz="0" w:space="0" w:color="auto"/>
                        <w:right w:val="none" w:sz="0" w:space="0" w:color="auto"/>
                      </w:divBdr>
                      <w:divsChild>
                        <w:div w:id="1792701535">
                          <w:marLeft w:val="0"/>
                          <w:marRight w:val="0"/>
                          <w:marTop w:val="0"/>
                          <w:marBottom w:val="0"/>
                          <w:divBdr>
                            <w:top w:val="none" w:sz="0" w:space="0" w:color="auto"/>
                            <w:left w:val="none" w:sz="0" w:space="0" w:color="auto"/>
                            <w:bottom w:val="none" w:sz="0" w:space="0" w:color="auto"/>
                            <w:right w:val="none" w:sz="0" w:space="0" w:color="auto"/>
                          </w:divBdr>
                          <w:divsChild>
                            <w:div w:id="1132215773">
                              <w:marLeft w:val="0"/>
                              <w:marRight w:val="0"/>
                              <w:marTop w:val="0"/>
                              <w:marBottom w:val="0"/>
                              <w:divBdr>
                                <w:top w:val="none" w:sz="0" w:space="0" w:color="auto"/>
                                <w:left w:val="none" w:sz="0" w:space="0" w:color="auto"/>
                                <w:bottom w:val="none" w:sz="0" w:space="0" w:color="auto"/>
                                <w:right w:val="none" w:sz="0" w:space="0" w:color="auto"/>
                              </w:divBdr>
                              <w:divsChild>
                                <w:div w:id="562567528">
                                  <w:marLeft w:val="0"/>
                                  <w:marRight w:val="0"/>
                                  <w:marTop w:val="0"/>
                                  <w:marBottom w:val="0"/>
                                  <w:divBdr>
                                    <w:top w:val="none" w:sz="0" w:space="0" w:color="auto"/>
                                    <w:left w:val="none" w:sz="0" w:space="0" w:color="auto"/>
                                    <w:bottom w:val="none" w:sz="0" w:space="0" w:color="auto"/>
                                    <w:right w:val="none" w:sz="0" w:space="0" w:color="auto"/>
                                  </w:divBdr>
                                  <w:divsChild>
                                    <w:div w:id="1021125518">
                                      <w:marLeft w:val="0"/>
                                      <w:marRight w:val="0"/>
                                      <w:marTop w:val="0"/>
                                      <w:marBottom w:val="0"/>
                                      <w:divBdr>
                                        <w:top w:val="none" w:sz="0" w:space="0" w:color="auto"/>
                                        <w:left w:val="none" w:sz="0" w:space="0" w:color="auto"/>
                                        <w:bottom w:val="none" w:sz="0" w:space="0" w:color="auto"/>
                                        <w:right w:val="none" w:sz="0" w:space="0" w:color="auto"/>
                                      </w:divBdr>
                                      <w:divsChild>
                                        <w:div w:id="200022740">
                                          <w:marLeft w:val="0"/>
                                          <w:marRight w:val="0"/>
                                          <w:marTop w:val="0"/>
                                          <w:marBottom w:val="0"/>
                                          <w:divBdr>
                                            <w:top w:val="none" w:sz="0" w:space="0" w:color="auto"/>
                                            <w:left w:val="none" w:sz="0" w:space="0" w:color="auto"/>
                                            <w:bottom w:val="none" w:sz="0" w:space="0" w:color="auto"/>
                                            <w:right w:val="none" w:sz="0" w:space="0" w:color="auto"/>
                                          </w:divBdr>
                                        </w:div>
                                        <w:div w:id="11162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063927">
          <w:marLeft w:val="116"/>
          <w:marRight w:val="116"/>
          <w:marTop w:val="0"/>
          <w:marBottom w:val="0"/>
          <w:divBdr>
            <w:top w:val="none" w:sz="0" w:space="0" w:color="auto"/>
            <w:left w:val="none" w:sz="0" w:space="0" w:color="auto"/>
            <w:bottom w:val="none" w:sz="0" w:space="0" w:color="auto"/>
            <w:right w:val="none" w:sz="0" w:space="0" w:color="auto"/>
          </w:divBdr>
          <w:divsChild>
            <w:div w:id="853298258">
              <w:marLeft w:val="0"/>
              <w:marRight w:val="0"/>
              <w:marTop w:val="0"/>
              <w:marBottom w:val="0"/>
              <w:divBdr>
                <w:top w:val="none" w:sz="0" w:space="0" w:color="auto"/>
                <w:left w:val="none" w:sz="0" w:space="0" w:color="auto"/>
                <w:bottom w:val="none" w:sz="0" w:space="0" w:color="auto"/>
                <w:right w:val="none" w:sz="0" w:space="0" w:color="auto"/>
              </w:divBdr>
              <w:divsChild>
                <w:div w:id="385763498">
                  <w:marLeft w:val="0"/>
                  <w:marRight w:val="0"/>
                  <w:marTop w:val="0"/>
                  <w:marBottom w:val="0"/>
                  <w:divBdr>
                    <w:top w:val="none" w:sz="0" w:space="0" w:color="auto"/>
                    <w:left w:val="none" w:sz="0" w:space="0" w:color="auto"/>
                    <w:bottom w:val="none" w:sz="0" w:space="0" w:color="auto"/>
                    <w:right w:val="none" w:sz="0" w:space="0" w:color="auto"/>
                  </w:divBdr>
                  <w:divsChild>
                    <w:div w:id="380246639">
                      <w:marLeft w:val="0"/>
                      <w:marRight w:val="0"/>
                      <w:marTop w:val="0"/>
                      <w:marBottom w:val="0"/>
                      <w:divBdr>
                        <w:top w:val="none" w:sz="0" w:space="0" w:color="auto"/>
                        <w:left w:val="none" w:sz="0" w:space="0" w:color="auto"/>
                        <w:bottom w:val="none" w:sz="0" w:space="0" w:color="auto"/>
                        <w:right w:val="none" w:sz="0" w:space="0" w:color="auto"/>
                      </w:divBdr>
                      <w:divsChild>
                        <w:div w:id="674189311">
                          <w:marLeft w:val="0"/>
                          <w:marRight w:val="0"/>
                          <w:marTop w:val="0"/>
                          <w:marBottom w:val="0"/>
                          <w:divBdr>
                            <w:top w:val="none" w:sz="0" w:space="0" w:color="auto"/>
                            <w:left w:val="none" w:sz="0" w:space="0" w:color="auto"/>
                            <w:bottom w:val="none" w:sz="0" w:space="0" w:color="auto"/>
                            <w:right w:val="none" w:sz="0" w:space="0" w:color="auto"/>
                          </w:divBdr>
                          <w:divsChild>
                            <w:div w:id="1737245982">
                              <w:marLeft w:val="0"/>
                              <w:marRight w:val="0"/>
                              <w:marTop w:val="0"/>
                              <w:marBottom w:val="0"/>
                              <w:divBdr>
                                <w:top w:val="none" w:sz="0" w:space="0" w:color="auto"/>
                                <w:left w:val="none" w:sz="0" w:space="0" w:color="auto"/>
                                <w:bottom w:val="none" w:sz="0" w:space="0" w:color="auto"/>
                                <w:right w:val="none" w:sz="0" w:space="0" w:color="auto"/>
                              </w:divBdr>
                              <w:divsChild>
                                <w:div w:id="1655059629">
                                  <w:marLeft w:val="0"/>
                                  <w:marRight w:val="0"/>
                                  <w:marTop w:val="0"/>
                                  <w:marBottom w:val="0"/>
                                  <w:divBdr>
                                    <w:top w:val="none" w:sz="0" w:space="0" w:color="auto"/>
                                    <w:left w:val="none" w:sz="0" w:space="0" w:color="auto"/>
                                    <w:bottom w:val="none" w:sz="0" w:space="0" w:color="auto"/>
                                    <w:right w:val="none" w:sz="0" w:space="0" w:color="auto"/>
                                  </w:divBdr>
                                  <w:divsChild>
                                    <w:div w:id="1206719799">
                                      <w:marLeft w:val="0"/>
                                      <w:marRight w:val="0"/>
                                      <w:marTop w:val="0"/>
                                      <w:marBottom w:val="0"/>
                                      <w:divBdr>
                                        <w:top w:val="none" w:sz="0" w:space="0" w:color="auto"/>
                                        <w:left w:val="none" w:sz="0" w:space="0" w:color="auto"/>
                                        <w:bottom w:val="none" w:sz="0" w:space="0" w:color="auto"/>
                                        <w:right w:val="none" w:sz="0" w:space="0" w:color="auto"/>
                                      </w:divBdr>
                                      <w:divsChild>
                                        <w:div w:id="1311012891">
                                          <w:marLeft w:val="0"/>
                                          <w:marRight w:val="0"/>
                                          <w:marTop w:val="0"/>
                                          <w:marBottom w:val="0"/>
                                          <w:divBdr>
                                            <w:top w:val="none" w:sz="0" w:space="0" w:color="auto"/>
                                            <w:left w:val="none" w:sz="0" w:space="0" w:color="auto"/>
                                            <w:bottom w:val="none" w:sz="0" w:space="0" w:color="auto"/>
                                            <w:right w:val="none" w:sz="0" w:space="0" w:color="auto"/>
                                          </w:divBdr>
                                          <w:divsChild>
                                            <w:div w:id="153107942">
                                              <w:marLeft w:val="0"/>
                                              <w:marRight w:val="0"/>
                                              <w:marTop w:val="0"/>
                                              <w:marBottom w:val="0"/>
                                              <w:divBdr>
                                                <w:top w:val="none" w:sz="0" w:space="0" w:color="auto"/>
                                                <w:left w:val="none" w:sz="0" w:space="0" w:color="auto"/>
                                                <w:bottom w:val="none" w:sz="0" w:space="0" w:color="auto"/>
                                                <w:right w:val="none" w:sz="0" w:space="0" w:color="auto"/>
                                              </w:divBdr>
                                              <w:divsChild>
                                                <w:div w:id="686368827">
                                                  <w:marLeft w:val="0"/>
                                                  <w:marRight w:val="0"/>
                                                  <w:marTop w:val="0"/>
                                                  <w:marBottom w:val="0"/>
                                                  <w:divBdr>
                                                    <w:top w:val="none" w:sz="0" w:space="0" w:color="auto"/>
                                                    <w:left w:val="none" w:sz="0" w:space="0" w:color="auto"/>
                                                    <w:bottom w:val="none" w:sz="0" w:space="0" w:color="auto"/>
                                                    <w:right w:val="none" w:sz="0" w:space="0" w:color="auto"/>
                                                  </w:divBdr>
                                                </w:div>
                                                <w:div w:id="1892761428">
                                                  <w:marLeft w:val="0"/>
                                                  <w:marRight w:val="0"/>
                                                  <w:marTop w:val="0"/>
                                                  <w:marBottom w:val="0"/>
                                                  <w:divBdr>
                                                    <w:top w:val="none" w:sz="0" w:space="0" w:color="auto"/>
                                                    <w:left w:val="none" w:sz="0" w:space="0" w:color="auto"/>
                                                    <w:bottom w:val="none" w:sz="0" w:space="0" w:color="auto"/>
                                                    <w:right w:val="none" w:sz="0" w:space="0" w:color="auto"/>
                                                  </w:divBdr>
                                                  <w:divsChild>
                                                    <w:div w:id="131409986">
                                                      <w:marLeft w:val="0"/>
                                                      <w:marRight w:val="0"/>
                                                      <w:marTop w:val="0"/>
                                                      <w:marBottom w:val="0"/>
                                                      <w:divBdr>
                                                        <w:top w:val="none" w:sz="0" w:space="0" w:color="auto"/>
                                                        <w:left w:val="none" w:sz="0" w:space="0" w:color="auto"/>
                                                        <w:bottom w:val="none" w:sz="0" w:space="0" w:color="auto"/>
                                                        <w:right w:val="none" w:sz="0" w:space="0" w:color="auto"/>
                                                      </w:divBdr>
                                                      <w:divsChild>
                                                        <w:div w:id="954554344">
                                                          <w:marLeft w:val="0"/>
                                                          <w:marRight w:val="0"/>
                                                          <w:marTop w:val="0"/>
                                                          <w:marBottom w:val="0"/>
                                                          <w:divBdr>
                                                            <w:top w:val="none" w:sz="0" w:space="0" w:color="auto"/>
                                                            <w:left w:val="none" w:sz="0" w:space="0" w:color="auto"/>
                                                            <w:bottom w:val="none" w:sz="0" w:space="0" w:color="auto"/>
                                                            <w:right w:val="none" w:sz="0" w:space="0" w:color="auto"/>
                                                          </w:divBdr>
                                                          <w:divsChild>
                                                            <w:div w:id="18394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5662872">
      <w:bodyDiv w:val="1"/>
      <w:marLeft w:val="0"/>
      <w:marRight w:val="0"/>
      <w:marTop w:val="0"/>
      <w:marBottom w:val="0"/>
      <w:divBdr>
        <w:top w:val="none" w:sz="0" w:space="0" w:color="auto"/>
        <w:left w:val="none" w:sz="0" w:space="0" w:color="auto"/>
        <w:bottom w:val="none" w:sz="0" w:space="0" w:color="auto"/>
        <w:right w:val="none" w:sz="0" w:space="0" w:color="auto"/>
      </w:divBdr>
    </w:div>
    <w:div w:id="1605724303">
      <w:bodyDiv w:val="1"/>
      <w:marLeft w:val="0"/>
      <w:marRight w:val="0"/>
      <w:marTop w:val="0"/>
      <w:marBottom w:val="0"/>
      <w:divBdr>
        <w:top w:val="none" w:sz="0" w:space="0" w:color="auto"/>
        <w:left w:val="none" w:sz="0" w:space="0" w:color="auto"/>
        <w:bottom w:val="none" w:sz="0" w:space="0" w:color="auto"/>
        <w:right w:val="none" w:sz="0" w:space="0" w:color="auto"/>
      </w:divBdr>
      <w:divsChild>
        <w:div w:id="1021858832">
          <w:marLeft w:val="0"/>
          <w:marRight w:val="0"/>
          <w:marTop w:val="0"/>
          <w:marBottom w:val="0"/>
          <w:divBdr>
            <w:top w:val="none" w:sz="0" w:space="0" w:color="auto"/>
            <w:left w:val="none" w:sz="0" w:space="0" w:color="auto"/>
            <w:bottom w:val="none" w:sz="0" w:space="0" w:color="auto"/>
            <w:right w:val="none" w:sz="0" w:space="0" w:color="auto"/>
          </w:divBdr>
          <w:divsChild>
            <w:div w:id="169108732">
              <w:marLeft w:val="0"/>
              <w:marRight w:val="0"/>
              <w:marTop w:val="0"/>
              <w:marBottom w:val="0"/>
              <w:divBdr>
                <w:top w:val="none" w:sz="0" w:space="0" w:color="auto"/>
                <w:left w:val="none" w:sz="0" w:space="0" w:color="auto"/>
                <w:bottom w:val="none" w:sz="0" w:space="0" w:color="auto"/>
                <w:right w:val="none" w:sz="0" w:space="0" w:color="auto"/>
              </w:divBdr>
            </w:div>
            <w:div w:id="231279594">
              <w:marLeft w:val="0"/>
              <w:marRight w:val="0"/>
              <w:marTop w:val="0"/>
              <w:marBottom w:val="0"/>
              <w:divBdr>
                <w:top w:val="none" w:sz="0" w:space="0" w:color="auto"/>
                <w:left w:val="none" w:sz="0" w:space="0" w:color="auto"/>
                <w:bottom w:val="none" w:sz="0" w:space="0" w:color="auto"/>
                <w:right w:val="none" w:sz="0" w:space="0" w:color="auto"/>
              </w:divBdr>
            </w:div>
            <w:div w:id="297808905">
              <w:marLeft w:val="0"/>
              <w:marRight w:val="0"/>
              <w:marTop w:val="0"/>
              <w:marBottom w:val="0"/>
              <w:divBdr>
                <w:top w:val="none" w:sz="0" w:space="0" w:color="auto"/>
                <w:left w:val="none" w:sz="0" w:space="0" w:color="auto"/>
                <w:bottom w:val="none" w:sz="0" w:space="0" w:color="auto"/>
                <w:right w:val="none" w:sz="0" w:space="0" w:color="auto"/>
              </w:divBdr>
            </w:div>
            <w:div w:id="928735902">
              <w:marLeft w:val="0"/>
              <w:marRight w:val="0"/>
              <w:marTop w:val="0"/>
              <w:marBottom w:val="0"/>
              <w:divBdr>
                <w:top w:val="none" w:sz="0" w:space="0" w:color="auto"/>
                <w:left w:val="none" w:sz="0" w:space="0" w:color="auto"/>
                <w:bottom w:val="none" w:sz="0" w:space="0" w:color="auto"/>
                <w:right w:val="none" w:sz="0" w:space="0" w:color="auto"/>
              </w:divBdr>
            </w:div>
            <w:div w:id="1215849699">
              <w:marLeft w:val="0"/>
              <w:marRight w:val="0"/>
              <w:marTop w:val="0"/>
              <w:marBottom w:val="0"/>
              <w:divBdr>
                <w:top w:val="none" w:sz="0" w:space="0" w:color="auto"/>
                <w:left w:val="none" w:sz="0" w:space="0" w:color="auto"/>
                <w:bottom w:val="none" w:sz="0" w:space="0" w:color="auto"/>
                <w:right w:val="none" w:sz="0" w:space="0" w:color="auto"/>
              </w:divBdr>
            </w:div>
            <w:div w:id="1803958323">
              <w:marLeft w:val="0"/>
              <w:marRight w:val="0"/>
              <w:marTop w:val="0"/>
              <w:marBottom w:val="0"/>
              <w:divBdr>
                <w:top w:val="none" w:sz="0" w:space="0" w:color="auto"/>
                <w:left w:val="none" w:sz="0" w:space="0" w:color="auto"/>
                <w:bottom w:val="none" w:sz="0" w:space="0" w:color="auto"/>
                <w:right w:val="none" w:sz="0" w:space="0" w:color="auto"/>
              </w:divBdr>
            </w:div>
            <w:div w:id="2075271149">
              <w:marLeft w:val="0"/>
              <w:marRight w:val="0"/>
              <w:marTop w:val="0"/>
              <w:marBottom w:val="0"/>
              <w:divBdr>
                <w:top w:val="none" w:sz="0" w:space="0" w:color="auto"/>
                <w:left w:val="none" w:sz="0" w:space="0" w:color="auto"/>
                <w:bottom w:val="none" w:sz="0" w:space="0" w:color="auto"/>
                <w:right w:val="none" w:sz="0" w:space="0" w:color="auto"/>
              </w:divBdr>
            </w:div>
          </w:divsChild>
        </w:div>
        <w:div w:id="2070566443">
          <w:marLeft w:val="0"/>
          <w:marRight w:val="0"/>
          <w:marTop w:val="0"/>
          <w:marBottom w:val="0"/>
          <w:divBdr>
            <w:top w:val="none" w:sz="0" w:space="0" w:color="auto"/>
            <w:left w:val="none" w:sz="0" w:space="0" w:color="auto"/>
            <w:bottom w:val="none" w:sz="0" w:space="0" w:color="auto"/>
            <w:right w:val="none" w:sz="0" w:space="0" w:color="auto"/>
          </w:divBdr>
        </w:div>
      </w:divsChild>
    </w:div>
    <w:div w:id="1669868578">
      <w:bodyDiv w:val="1"/>
      <w:marLeft w:val="0"/>
      <w:marRight w:val="0"/>
      <w:marTop w:val="0"/>
      <w:marBottom w:val="0"/>
      <w:divBdr>
        <w:top w:val="none" w:sz="0" w:space="0" w:color="auto"/>
        <w:left w:val="none" w:sz="0" w:space="0" w:color="auto"/>
        <w:bottom w:val="none" w:sz="0" w:space="0" w:color="auto"/>
        <w:right w:val="none" w:sz="0" w:space="0" w:color="auto"/>
      </w:divBdr>
      <w:divsChild>
        <w:div w:id="392585862">
          <w:marLeft w:val="0"/>
          <w:marRight w:val="0"/>
          <w:marTop w:val="0"/>
          <w:marBottom w:val="0"/>
          <w:divBdr>
            <w:top w:val="none" w:sz="0" w:space="0" w:color="auto"/>
            <w:left w:val="none" w:sz="0" w:space="0" w:color="auto"/>
            <w:bottom w:val="none" w:sz="0" w:space="0" w:color="auto"/>
            <w:right w:val="none" w:sz="0" w:space="0" w:color="auto"/>
          </w:divBdr>
        </w:div>
        <w:div w:id="2101949491">
          <w:marLeft w:val="0"/>
          <w:marRight w:val="0"/>
          <w:marTop w:val="0"/>
          <w:marBottom w:val="0"/>
          <w:divBdr>
            <w:top w:val="none" w:sz="0" w:space="0" w:color="auto"/>
            <w:left w:val="none" w:sz="0" w:space="0" w:color="auto"/>
            <w:bottom w:val="none" w:sz="0" w:space="0" w:color="auto"/>
            <w:right w:val="none" w:sz="0" w:space="0" w:color="auto"/>
          </w:divBdr>
          <w:divsChild>
            <w:div w:id="73169775">
              <w:marLeft w:val="0"/>
              <w:marRight w:val="0"/>
              <w:marTop w:val="0"/>
              <w:marBottom w:val="0"/>
              <w:divBdr>
                <w:top w:val="none" w:sz="0" w:space="0" w:color="auto"/>
                <w:left w:val="none" w:sz="0" w:space="0" w:color="auto"/>
                <w:bottom w:val="none" w:sz="0" w:space="0" w:color="auto"/>
                <w:right w:val="none" w:sz="0" w:space="0" w:color="auto"/>
              </w:divBdr>
            </w:div>
            <w:div w:id="213664210">
              <w:marLeft w:val="0"/>
              <w:marRight w:val="0"/>
              <w:marTop w:val="0"/>
              <w:marBottom w:val="0"/>
              <w:divBdr>
                <w:top w:val="none" w:sz="0" w:space="0" w:color="auto"/>
                <w:left w:val="none" w:sz="0" w:space="0" w:color="auto"/>
                <w:bottom w:val="none" w:sz="0" w:space="0" w:color="auto"/>
                <w:right w:val="none" w:sz="0" w:space="0" w:color="auto"/>
              </w:divBdr>
            </w:div>
            <w:div w:id="624628879">
              <w:marLeft w:val="0"/>
              <w:marRight w:val="0"/>
              <w:marTop w:val="0"/>
              <w:marBottom w:val="0"/>
              <w:divBdr>
                <w:top w:val="none" w:sz="0" w:space="0" w:color="auto"/>
                <w:left w:val="none" w:sz="0" w:space="0" w:color="auto"/>
                <w:bottom w:val="none" w:sz="0" w:space="0" w:color="auto"/>
                <w:right w:val="none" w:sz="0" w:space="0" w:color="auto"/>
              </w:divBdr>
            </w:div>
            <w:div w:id="941373383">
              <w:marLeft w:val="0"/>
              <w:marRight w:val="0"/>
              <w:marTop w:val="0"/>
              <w:marBottom w:val="0"/>
              <w:divBdr>
                <w:top w:val="none" w:sz="0" w:space="0" w:color="auto"/>
                <w:left w:val="none" w:sz="0" w:space="0" w:color="auto"/>
                <w:bottom w:val="none" w:sz="0" w:space="0" w:color="auto"/>
                <w:right w:val="none" w:sz="0" w:space="0" w:color="auto"/>
              </w:divBdr>
            </w:div>
            <w:div w:id="1049845661">
              <w:marLeft w:val="0"/>
              <w:marRight w:val="0"/>
              <w:marTop w:val="0"/>
              <w:marBottom w:val="0"/>
              <w:divBdr>
                <w:top w:val="none" w:sz="0" w:space="0" w:color="auto"/>
                <w:left w:val="none" w:sz="0" w:space="0" w:color="auto"/>
                <w:bottom w:val="none" w:sz="0" w:space="0" w:color="auto"/>
                <w:right w:val="none" w:sz="0" w:space="0" w:color="auto"/>
              </w:divBdr>
            </w:div>
            <w:div w:id="1487240232">
              <w:marLeft w:val="0"/>
              <w:marRight w:val="0"/>
              <w:marTop w:val="0"/>
              <w:marBottom w:val="0"/>
              <w:divBdr>
                <w:top w:val="none" w:sz="0" w:space="0" w:color="auto"/>
                <w:left w:val="none" w:sz="0" w:space="0" w:color="auto"/>
                <w:bottom w:val="none" w:sz="0" w:space="0" w:color="auto"/>
                <w:right w:val="none" w:sz="0" w:space="0" w:color="auto"/>
              </w:divBdr>
            </w:div>
            <w:div w:id="154574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91290">
      <w:bodyDiv w:val="1"/>
      <w:marLeft w:val="0"/>
      <w:marRight w:val="0"/>
      <w:marTop w:val="0"/>
      <w:marBottom w:val="0"/>
      <w:divBdr>
        <w:top w:val="none" w:sz="0" w:space="0" w:color="auto"/>
        <w:left w:val="none" w:sz="0" w:space="0" w:color="auto"/>
        <w:bottom w:val="none" w:sz="0" w:space="0" w:color="auto"/>
        <w:right w:val="none" w:sz="0" w:space="0" w:color="auto"/>
      </w:divBdr>
    </w:div>
    <w:div w:id="18900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rtpi.org.uk/new-from-the-rtpi/futureproof-new-towns-interim-report/" TargetMode="External"/><Relationship Id="rId26" Type="http://schemas.openxmlformats.org/officeDocument/2006/relationships/image" Target="media/image4.jpeg"/><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s://nansledan.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nhabitat.org/sites/default/files/2024/10/2416772e.pdf" TargetMode="External"/><Relationship Id="rId29" Type="http://schemas.openxmlformats.org/officeDocument/2006/relationships/image" Target="media/image7.jpeg"/><Relationship Id="rId11" Type="http://schemas.openxmlformats.org/officeDocument/2006/relationships/hyperlink" Target="mailto:research@rtpi.org.uk"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groups/the-new-towns-taskforce" TargetMode="External"/><Relationship Id="rId22" Type="http://schemas.openxmlformats.org/officeDocument/2006/relationships/header" Target="head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hyperlink" Target="https://chapeltonnewtown.co.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rtpi.org.uk/new-from-the-rtpi/public-lacks-confidence-in-the-next-generation-of-new-towns/"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0" Type="http://schemas.openxmlformats.org/officeDocument/2006/relationships/header" Target="header3.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nhabitat.org/meetings/first-session-of-the-open-ended-intergovernmental-expert-working-group-on-adequate-housing-for-all"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hyperlink" Target="https://jstor.org/stable/community.35182708"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freiburg.de/pb/2425513.html" TargetMode="External"/><Relationship Id="rId18" Type="http://schemas.openxmlformats.org/officeDocument/2006/relationships/hyperlink" Target="https://www.archdaily.com/935443/modernist-chandigarh-through-the-lens-of-roberto-conte" TargetMode="External"/><Relationship Id="rId26" Type="http://schemas.openxmlformats.org/officeDocument/2006/relationships/hyperlink" Target="https://www.cnu.org/publicsquare/2022/08/01/ten-ways-build-small-scale-urbanism" TargetMode="External"/><Relationship Id="rId39" Type="http://schemas.openxmlformats.org/officeDocument/2006/relationships/hyperlink" Target="https://viablealternativenergy.com/curitiba-city/" TargetMode="External"/><Relationship Id="rId21" Type="http://schemas.openxmlformats.org/officeDocument/2006/relationships/hyperlink" Target="https://www.tribuneindia.com/news/chandigarh/more-vehicles-than-people-in-chandigarh-highest-density-in-country/%3e" TargetMode="External"/><Relationship Id="rId34" Type="http://schemas.openxmlformats.org/officeDocument/2006/relationships/hyperlink" Target="https://terrainelife.com/land/" TargetMode="External"/><Relationship Id="rId7" Type="http://schemas.openxmlformats.org/officeDocument/2006/relationships/hyperlink" Target="https://www.witpress.com/Secure/ejournals/papers/D&amp;NE080401f.pdf" TargetMode="External"/><Relationship Id="rId12" Type="http://schemas.openxmlformats.org/officeDocument/2006/relationships/hyperlink" Target="https://apolitical.co/solution-articles/en/small-german-neighbourhood-became-one-worlds-greenest" TargetMode="External"/><Relationship Id="rId17" Type="http://schemas.openxmlformats.org/officeDocument/2006/relationships/hyperlink" Target="https://architectuul.com/architecture/city-of-chandigarh?__cf_chl_tk=01MGHXAnkB8VsizjCGo12Ml91AQO28CqOj3W2AT_Qrk-1756819625-1.0.1.1-S3oEnSWflTnhyHXEL9OIC.I.7Ym6xe1NOppAetp_T9U" TargetMode="External"/><Relationship Id="rId25" Type="http://schemas.openxmlformats.org/officeDocument/2006/relationships/hyperlink" Target="https://www.cnu.org/publicsquare/2025/03/17/new-towns-are-important-new-urbanism" TargetMode="External"/><Relationship Id="rId33" Type="http://schemas.openxmlformats.org/officeDocument/2006/relationships/hyperlink" Target="https://senate.utah.gov/housing/" TargetMode="External"/><Relationship Id="rId38" Type="http://schemas.openxmlformats.org/officeDocument/2006/relationships/hyperlink" Target="https://aiph.org/green-city-case-studies/curitiba-brazil-urban-agriculture/" TargetMode="External"/><Relationship Id="rId2" Type="http://schemas.openxmlformats.org/officeDocument/2006/relationships/hyperlink" Target="https://unhabitat.org/meetings/first-session-of-the-open-ended-intergovernmental-expert-working-group-on-adequate-housing-for-all" TargetMode="External"/><Relationship Id="rId16" Type="http://schemas.openxmlformats.org/officeDocument/2006/relationships/hyperlink" Target="https://chandigarh.gov.in/know-chandigarh/planning-architecture/historical-background" TargetMode="External"/><Relationship Id="rId20" Type="http://schemas.openxmlformats.org/officeDocument/2006/relationships/hyperlink" Target="https://architecturetoday.co.uk/award-entries/chandigarh/" TargetMode="External"/><Relationship Id="rId29" Type="http://schemas.openxmlformats.org/officeDocument/2006/relationships/hyperlink" Target="https://www.cnu.org/publicsquare/2025/03/17/new-towns-are-important-new-urbanism" TargetMode="External"/><Relationship Id="rId1" Type="http://schemas.openxmlformats.org/officeDocument/2006/relationships/hyperlink" Target="https://www.gov.uk/government/publications/new-towns-taskforce-report-to-government/new-towns-taskforce-report-to-government" TargetMode="External"/><Relationship Id="rId6" Type="http://schemas.openxmlformats.org/officeDocument/2006/relationships/hyperlink" Target="https://nupdb.urbanpolicyplatform.org/listings/Netherlands" TargetMode="External"/><Relationship Id="rId11" Type="http://schemas.openxmlformats.org/officeDocument/2006/relationships/hyperlink" Target="https://urbandesignlab.in/vauban-eco-district-freiburg-as-a-model-for-sustainable-urban-regeneration/" TargetMode="External"/><Relationship Id="rId24" Type="http://schemas.openxmlformats.org/officeDocument/2006/relationships/hyperlink" Target="https://www.hindustantimes.com/cities/chandigarh-news/with-9-growth-since-2017-half-of-chandigarh-area-now-under-green-cover-101710184917947.html" TargetMode="External"/><Relationship Id="rId32" Type="http://schemas.openxmlformats.org/officeDocument/2006/relationships/hyperlink" Target="https://casestudies.uli.org/wp-content/uploads/2015/12/C037024.pdf" TargetMode="External"/><Relationship Id="rId37" Type="http://schemas.openxmlformats.org/officeDocument/2006/relationships/hyperlink" Target="https://ippuc.org.br/o-ippuc" TargetMode="External"/><Relationship Id="rId40" Type="http://schemas.openxmlformats.org/officeDocument/2006/relationships/hyperlink" Target="https://www.rtpi.org.uk/new-from-the-rtpi/public-lacks-confidence-in-the-next-generation-of-new-towns/" TargetMode="External"/><Relationship Id="rId5" Type="http://schemas.openxmlformats.org/officeDocument/2006/relationships/hyperlink" Target="https://nobelhorst.nl/" TargetMode="External"/><Relationship Id="rId15" Type="http://schemas.openxmlformats.org/officeDocument/2006/relationships/hyperlink" Target="https://journals.openedition.org/articulo/1393" TargetMode="External"/><Relationship Id="rId23" Type="http://schemas.openxmlformats.org/officeDocument/2006/relationships/hyperlink" Target="https://www.tribuneindia.com/news/chandigarh/more-vehicles-than-people-in-chandigarh-highest-density-in-country/%3e" TargetMode="External"/><Relationship Id="rId28" Type="http://schemas.openxmlformats.org/officeDocument/2006/relationships/hyperlink" Target="https://www.cnu.org/publicsquare/2025/03/17/new-towns-are-important-new-urbanism" TargetMode="External"/><Relationship Id="rId36" Type="http://schemas.openxmlformats.org/officeDocument/2006/relationships/hyperlink" Target="https://www.cnu.org/publicsquare/2025/03/17/new-towns-are-important-new-urbanism" TargetMode="External"/><Relationship Id="rId10" Type="http://schemas.openxmlformats.org/officeDocument/2006/relationships/hyperlink" Target="https://www.freiburg.de/pb/2433005" TargetMode="External"/><Relationship Id="rId19" Type="http://schemas.openxmlformats.org/officeDocument/2006/relationships/hyperlink" Target="https://architecturetoday.co.uk/award-entries/chandigarh/" TargetMode="External"/><Relationship Id="rId31" Type="http://schemas.openxmlformats.org/officeDocument/2006/relationships/hyperlink" Target="https://casestudies.uli.org/wp-content/uploads/2015/12/C037024.pdf" TargetMode="External"/><Relationship Id="rId4" Type="http://schemas.openxmlformats.org/officeDocument/2006/relationships/hyperlink" Target="https://english.almere.nl/the-municipality/about-almere" TargetMode="External"/><Relationship Id="rId9" Type="http://schemas.openxmlformats.org/officeDocument/2006/relationships/hyperlink" Target="https://www.stadtplanungsamt-frankfurt.de/urban_development_measures_5331.html?langfront=en&amp;psid=2" TargetMode="External"/><Relationship Id="rId14" Type="http://schemas.openxmlformats.org/officeDocument/2006/relationships/hyperlink" Target="https://www.metropolegrandparis.fr/fr" TargetMode="External"/><Relationship Id="rId22" Type="http://schemas.openxmlformats.org/officeDocument/2006/relationships/hyperlink" Target="https://www.hindustantimes.com/cities/chandigarh-news/with-9-growth-since-2017-half-of-chandigarh-area-now-under-green-cover-101710184917947.html" TargetMode="External"/><Relationship Id="rId27" Type="http://schemas.openxmlformats.org/officeDocument/2006/relationships/hyperlink" Target="https://www.designworkshop.com/projects/daybreak.html" TargetMode="External"/><Relationship Id="rId30" Type="http://schemas.openxmlformats.org/officeDocument/2006/relationships/hyperlink" Target="https://rogerdhodges.com/wp-content/uploads/2019/04/daybreak-overview67.pdf" TargetMode="External"/><Relationship Id="rId35" Type="http://schemas.openxmlformats.org/officeDocument/2006/relationships/hyperlink" Target="https://www.cnu.org/publicsquare/2018/04/25/innovative-missing-middle-design" TargetMode="External"/><Relationship Id="rId8" Type="http://schemas.openxmlformats.org/officeDocument/2006/relationships/hyperlink" Target="https://theoneplanetlife.com/wp-content/uploads/2020/06/Baugruppen.pdf" TargetMode="External"/><Relationship Id="rId3" Type="http://schemas.openxmlformats.org/officeDocument/2006/relationships/hyperlink" Target="https://unhabitat.org/sites/default/files/2024/10/2416772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59e599-35bd-4039-b480-078e16f93b9f">
      <Terms xmlns="http://schemas.microsoft.com/office/infopath/2007/PartnerControls"/>
    </lcf76f155ced4ddcb4097134ff3c332f>
    <TaxCatchAll xmlns="b32135bc-b2ec-415f-b9aa-be28010955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65462EB4078E4C94A4D593F0FB5ABD" ma:contentTypeVersion="19" ma:contentTypeDescription="Create a new document." ma:contentTypeScope="" ma:versionID="c18cc51671cfce7918dbdd00412e4eee">
  <xsd:schema xmlns:xsd="http://www.w3.org/2001/XMLSchema" xmlns:xs="http://www.w3.org/2001/XMLSchema" xmlns:p="http://schemas.microsoft.com/office/2006/metadata/properties" xmlns:ns2="0d59e599-35bd-4039-b480-078e16f93b9f" xmlns:ns3="b32135bc-b2ec-415f-b9aa-be28010955f0" targetNamespace="http://schemas.microsoft.com/office/2006/metadata/properties" ma:root="true" ma:fieldsID="9d85cb4d02e63bd2ede8368ac316fcb7" ns2:_="" ns3:_="">
    <xsd:import namespace="0d59e599-35bd-4039-b480-078e16f93b9f"/>
    <xsd:import namespace="b32135bc-b2ec-415f-b9aa-be28010955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e599-35bd-4039-b480-078e16f9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135bc-b2ec-415f-b9aa-be28010955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4d3b9e-375e-44dc-98d8-9ba71a7020d5}" ma:internalName="TaxCatchAll" ma:showField="CatchAllData" ma:web="b32135bc-b2ec-415f-b9aa-be2801095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5CE55-3A49-4C41-B8BE-58017301B53D}">
  <ds:schemaRefs>
    <ds:schemaRef ds:uri="http://purl.org/dc/dcmitype/"/>
    <ds:schemaRef ds:uri="http://www.w3.org/XML/1998/namespace"/>
    <ds:schemaRef ds:uri="b32135bc-b2ec-415f-b9aa-be28010955f0"/>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0d59e599-35bd-4039-b480-078e16f93b9f"/>
    <ds:schemaRef ds:uri="http://schemas.microsoft.com/office/2006/metadata/properties"/>
  </ds:schemaRefs>
</ds:datastoreItem>
</file>

<file path=customXml/itemProps2.xml><?xml version="1.0" encoding="utf-8"?>
<ds:datastoreItem xmlns:ds="http://schemas.openxmlformats.org/officeDocument/2006/customXml" ds:itemID="{7E767CC2-1AFC-436F-8B73-8466B61682E9}">
  <ds:schemaRefs>
    <ds:schemaRef ds:uri="http://schemas.microsoft.com/sharepoint/v3/contenttype/forms"/>
  </ds:schemaRefs>
</ds:datastoreItem>
</file>

<file path=customXml/itemProps3.xml><?xml version="1.0" encoding="utf-8"?>
<ds:datastoreItem xmlns:ds="http://schemas.openxmlformats.org/officeDocument/2006/customXml" ds:itemID="{9AC1E13C-456E-4C6E-A592-7BC6E6B15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e599-35bd-4039-b480-078e16f93b9f"/>
    <ds:schemaRef ds:uri="b32135bc-b2ec-415f-b9aa-be2801095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F133A0-8210-4E2F-8484-8A24B3F012D3}">
  <ds:schemaRefs>
    <ds:schemaRef ds:uri="http://schemas.openxmlformats.org/officeDocument/2006/bibliography"/>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Template>
  <TotalTime>1</TotalTime>
  <Pages>110</Pages>
  <Words>22757</Words>
  <Characters>129720</Characters>
  <Application>Microsoft Office Word</Application>
  <DocSecurity>0</DocSecurity>
  <Lines>1081</Lines>
  <Paragraphs>304</Paragraphs>
  <ScaleCrop>false</ScaleCrop>
  <Company/>
  <LinksUpToDate>false</LinksUpToDate>
  <CharactersWithSpaces>152173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Slade</dc:creator>
  <cp:keywords/>
  <dc:description/>
  <cp:lastModifiedBy>Andrew Pilkington</cp:lastModifiedBy>
  <cp:revision>2</cp:revision>
  <cp:lastPrinted>2025-09-09T14:14:00Z</cp:lastPrinted>
  <dcterms:created xsi:type="dcterms:W3CDTF">2026-02-12T09:26:00Z</dcterms:created>
  <dcterms:modified xsi:type="dcterms:W3CDTF">2026-02-12T09:26:00Z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0x0101009465462EB4078E4C94A4D593F0FB5ABD</vt:lpwstr>
  </property>
  <property fmtid="{D5CDD505-2E9C-101B-9397-08002B2CF9AE}" pid="3" name="MediaServiceImageTags">
    <vt:lpwstr/>
  </property>
</Properties>
</file>