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ACBB" w14:textId="4698B0AB" w:rsidR="002F44DC" w:rsidRPr="00552187" w:rsidRDefault="00147AF3" w:rsidP="00531D6D">
      <w:pPr>
        <w:spacing w:after="0" w:line="360" w:lineRule="auto"/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</w:pPr>
      <w:r w:rsidRPr="00552187"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  <w:t xml:space="preserve">State of the Profession: </w:t>
      </w:r>
      <w:r w:rsidR="00543EF0" w:rsidRPr="00552187"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  <w:t>I</w:t>
      </w:r>
      <w:r w:rsidRPr="00552187"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  <w:t>nternational factsheet</w:t>
      </w:r>
    </w:p>
    <w:p w14:paraId="1582F55C" w14:textId="213FBCB9" w:rsidR="005E1CBD" w:rsidRPr="00552187" w:rsidRDefault="005633FE" w:rsidP="00531D6D">
      <w:pPr>
        <w:pStyle w:val="Heading2"/>
      </w:pPr>
      <w:r w:rsidRPr="00552187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66433" behindDoc="1" locked="0" layoutInCell="1" allowOverlap="1" wp14:anchorId="3718F032" wp14:editId="0473060E">
            <wp:simplePos x="0" y="0"/>
            <wp:positionH relativeFrom="margin">
              <wp:posOffset>2820035</wp:posOffset>
            </wp:positionH>
            <wp:positionV relativeFrom="paragraph">
              <wp:posOffset>56515</wp:posOffset>
            </wp:positionV>
            <wp:extent cx="3331210" cy="2766695"/>
            <wp:effectExtent l="0" t="0" r="2540" b="0"/>
            <wp:wrapTight wrapText="bothSides">
              <wp:wrapPolygon edited="0">
                <wp:start x="124" y="149"/>
                <wp:lineTo x="0" y="2231"/>
                <wp:lineTo x="1853" y="2826"/>
                <wp:lineTo x="741" y="2826"/>
                <wp:lineTo x="0" y="2975"/>
                <wp:lineTo x="0" y="20970"/>
                <wp:lineTo x="371" y="21119"/>
                <wp:lineTo x="6176" y="21417"/>
                <wp:lineTo x="6670" y="21417"/>
                <wp:lineTo x="6794" y="21119"/>
                <wp:lineTo x="11611" y="19483"/>
                <wp:lineTo x="21369" y="18888"/>
                <wp:lineTo x="21369" y="15468"/>
                <wp:lineTo x="10376" y="14724"/>
                <wp:lineTo x="21369" y="14278"/>
                <wp:lineTo x="21369" y="13683"/>
                <wp:lineTo x="9635" y="12344"/>
                <wp:lineTo x="21369" y="11898"/>
                <wp:lineTo x="21369" y="10262"/>
                <wp:lineTo x="11611" y="9965"/>
                <wp:lineTo x="21369" y="9370"/>
                <wp:lineTo x="21369" y="7585"/>
                <wp:lineTo x="17293" y="7585"/>
                <wp:lineTo x="21493" y="6693"/>
                <wp:lineTo x="21493" y="3718"/>
                <wp:lineTo x="21122" y="2975"/>
                <wp:lineTo x="20134" y="2826"/>
                <wp:lineTo x="20381" y="744"/>
                <wp:lineTo x="19270" y="446"/>
                <wp:lineTo x="12352" y="149"/>
                <wp:lineTo x="124" y="149"/>
              </wp:wrapPolygon>
            </wp:wrapTight>
            <wp:docPr id="605350485" name="Picture 2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50485" name="Picture 2" descr="A screen 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CBD" w:rsidRPr="00552187">
        <w:t>Career</w:t>
      </w:r>
    </w:p>
    <w:p w14:paraId="52C38B86" w14:textId="5B33B186" w:rsidR="005633FE" w:rsidRPr="00552187" w:rsidRDefault="000E0030" w:rsidP="00531D6D">
      <w:pPr>
        <w:spacing w:after="0" w:line="360" w:lineRule="auto"/>
      </w:pPr>
      <w:r w:rsidRPr="00552187">
        <w:t xml:space="preserve">As in the four UK nations, </w:t>
      </w:r>
      <w:r w:rsidR="007E6BBD" w:rsidRPr="00552187">
        <w:t>the highest proportion of</w:t>
      </w:r>
      <w:r w:rsidR="00346095" w:rsidRPr="00552187">
        <w:t xml:space="preserve"> international respondents </w:t>
      </w:r>
      <w:r w:rsidR="0049594E" w:rsidRPr="00552187">
        <w:t>to our State of the Profession members’ survey reported working in</w:t>
      </w:r>
      <w:r w:rsidR="007E6BBD" w:rsidRPr="00552187">
        <w:t xml:space="preserve"> </w:t>
      </w:r>
      <w:r w:rsidR="00346095" w:rsidRPr="00552187">
        <w:t>development management</w:t>
      </w:r>
      <w:r w:rsidR="007960F6" w:rsidRPr="00552187">
        <w:t>, at 26.5%</w:t>
      </w:r>
      <w:r w:rsidR="00346095" w:rsidRPr="00552187">
        <w:t>.</w:t>
      </w:r>
      <w:r w:rsidR="007960F6" w:rsidRPr="00552187">
        <w:t xml:space="preserve"> This was followed by strategic planning (14.5%)</w:t>
      </w:r>
      <w:r w:rsidR="00BB6583" w:rsidRPr="00552187">
        <w:t xml:space="preserve">, </w:t>
      </w:r>
      <w:r w:rsidR="007960F6" w:rsidRPr="00552187">
        <w:t>urban design or master</w:t>
      </w:r>
      <w:r w:rsidR="00543EF0" w:rsidRPr="00552187">
        <w:t xml:space="preserve"> </w:t>
      </w:r>
      <w:r w:rsidR="007960F6" w:rsidRPr="00552187">
        <w:t>planning (12%)</w:t>
      </w:r>
      <w:r w:rsidR="00081657" w:rsidRPr="00552187">
        <w:t>, commercial</w:t>
      </w:r>
      <w:r w:rsidR="00805B15" w:rsidRPr="00552187">
        <w:t>,</w:t>
      </w:r>
      <w:r w:rsidR="00081657" w:rsidRPr="00552187">
        <w:t xml:space="preserve"> and housing (both 5.1%)</w:t>
      </w:r>
      <w:r w:rsidR="00BB6583" w:rsidRPr="00552187">
        <w:t>.</w:t>
      </w:r>
      <w:r w:rsidR="00081657" w:rsidRPr="00552187">
        <w:t xml:space="preserve"> </w:t>
      </w:r>
      <w:r w:rsidR="0043188F" w:rsidRPr="00552187">
        <w:t>The r</w:t>
      </w:r>
      <w:r w:rsidR="00B911E7" w:rsidRPr="00552187">
        <w:t xml:space="preserve">emaining </w:t>
      </w:r>
      <w:r w:rsidR="0043188F" w:rsidRPr="00552187">
        <w:t xml:space="preserve">individual </w:t>
      </w:r>
      <w:r w:rsidR="00B911E7" w:rsidRPr="00552187">
        <w:t xml:space="preserve">areas </w:t>
      </w:r>
      <w:r w:rsidR="0043188F" w:rsidRPr="00552187">
        <w:t xml:space="preserve">of planning </w:t>
      </w:r>
      <w:r w:rsidR="00B911E7" w:rsidRPr="00552187">
        <w:t xml:space="preserve">were </w:t>
      </w:r>
      <w:r w:rsidR="0043188F" w:rsidRPr="00552187">
        <w:t xml:space="preserve">selected by less than 5% of respondents, while </w:t>
      </w:r>
      <w:r w:rsidR="005E5B74" w:rsidRPr="00552187">
        <w:t xml:space="preserve">6% specified ‘other’. </w:t>
      </w:r>
      <w:r w:rsidR="00836B07" w:rsidRPr="00552187">
        <w:t xml:space="preserve">‘Other’ areas </w:t>
      </w:r>
    </w:p>
    <w:p w14:paraId="0A2208E5" w14:textId="521C4B58" w:rsidR="000E0030" w:rsidRPr="00552187" w:rsidRDefault="00836B07" w:rsidP="00531D6D">
      <w:pPr>
        <w:spacing w:after="0" w:line="360" w:lineRule="auto"/>
      </w:pPr>
      <w:r w:rsidRPr="00552187">
        <w:t>specified</w:t>
      </w:r>
      <w:r w:rsidR="005E5B74" w:rsidRPr="00552187">
        <w:t xml:space="preserve"> included</w:t>
      </w:r>
      <w:r w:rsidR="008E1A4E" w:rsidRPr="00552187">
        <w:t xml:space="preserve"> infrastructure, education,</w:t>
      </w:r>
      <w:r w:rsidR="00C269BB" w:rsidRPr="00552187">
        <w:t xml:space="preserve"> digital technology, and </w:t>
      </w:r>
      <w:r w:rsidRPr="00552187">
        <w:t>a mixture</w:t>
      </w:r>
      <w:r w:rsidR="008D51D8" w:rsidRPr="00552187">
        <w:t xml:space="preserve"> of multiple</w:t>
      </w:r>
      <w:r w:rsidR="00C269BB" w:rsidRPr="00552187">
        <w:t xml:space="preserve"> areas.</w:t>
      </w:r>
    </w:p>
    <w:p w14:paraId="5C312377" w14:textId="6B9859CD" w:rsidR="00346095" w:rsidRPr="00552187" w:rsidRDefault="00D21435" w:rsidP="00531D6D">
      <w:pPr>
        <w:spacing w:after="0" w:line="360" w:lineRule="auto"/>
      </w:pPr>
      <w:r w:rsidRPr="00552187">
        <w:rPr>
          <w:noProof/>
        </w:rPr>
        <w:drawing>
          <wp:anchor distT="0" distB="0" distL="114300" distR="114300" simplePos="0" relativeHeight="251667457" behindDoc="1" locked="0" layoutInCell="1" allowOverlap="1" wp14:anchorId="6373D0F2" wp14:editId="144EE10A">
            <wp:simplePos x="0" y="0"/>
            <wp:positionH relativeFrom="margin">
              <wp:posOffset>-511175</wp:posOffset>
            </wp:positionH>
            <wp:positionV relativeFrom="paragraph">
              <wp:posOffset>6985</wp:posOffset>
            </wp:positionV>
            <wp:extent cx="3498215" cy="2493645"/>
            <wp:effectExtent l="0" t="0" r="0" b="0"/>
            <wp:wrapSquare wrapText="bothSides"/>
            <wp:docPr id="1322519290" name="Picture 4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19290" name="Picture 4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B24CB" w14:textId="728F36F0" w:rsidR="006F0356" w:rsidRPr="00552187" w:rsidRDefault="00C66137" w:rsidP="00531D6D">
      <w:pPr>
        <w:spacing w:after="0" w:line="360" w:lineRule="auto"/>
      </w:pPr>
      <w:r w:rsidRPr="00552187">
        <w:t>T</w:t>
      </w:r>
      <w:r w:rsidR="00304E25" w:rsidRPr="00552187">
        <w:t xml:space="preserve">he highest proportion </w:t>
      </w:r>
      <w:r w:rsidRPr="00552187">
        <w:t>of respondents held</w:t>
      </w:r>
      <w:r w:rsidR="00304E25" w:rsidRPr="00552187">
        <w:t xml:space="preserve"> 31</w:t>
      </w:r>
      <w:r w:rsidRPr="00552187">
        <w:t xml:space="preserve"> or more</w:t>
      </w:r>
      <w:r w:rsidR="00304E25" w:rsidRPr="00552187">
        <w:t xml:space="preserve"> years </w:t>
      </w:r>
      <w:r w:rsidRPr="00552187">
        <w:t xml:space="preserve">of experience in planning </w:t>
      </w:r>
      <w:r w:rsidR="00304E25" w:rsidRPr="00552187">
        <w:t xml:space="preserve">(29.1%), followed by </w:t>
      </w:r>
      <w:r w:rsidR="007F0E00" w:rsidRPr="00552187">
        <w:t>5-10 years (21.5%).</w:t>
      </w:r>
      <w:r w:rsidR="002D1C31" w:rsidRPr="00552187">
        <w:t xml:space="preserve"> Just under half of respondents (49.6%) had 21 or more years of experience.</w:t>
      </w:r>
      <w:r w:rsidR="00DA3E6D" w:rsidRPr="00552187">
        <w:t xml:space="preserve"> </w:t>
      </w:r>
      <w:r w:rsidR="006F0356" w:rsidRPr="00552187">
        <w:t xml:space="preserve">A majority were </w:t>
      </w:r>
      <w:r w:rsidR="0034235F" w:rsidRPr="00552187">
        <w:t>somewha</w:t>
      </w:r>
      <w:r w:rsidR="00994FDB" w:rsidRPr="00552187">
        <w:t xml:space="preserve">t </w:t>
      </w:r>
      <w:r w:rsidR="00B16715" w:rsidRPr="00552187">
        <w:t xml:space="preserve">or very </w:t>
      </w:r>
      <w:r w:rsidR="00994FDB" w:rsidRPr="00552187">
        <w:t>satisfied</w:t>
      </w:r>
      <w:r w:rsidR="006F0356" w:rsidRPr="00552187">
        <w:t xml:space="preserve"> with </w:t>
      </w:r>
      <w:r w:rsidR="00994FDB" w:rsidRPr="00552187">
        <w:t>their</w:t>
      </w:r>
      <w:r w:rsidR="006F0356" w:rsidRPr="00552187">
        <w:t xml:space="preserve"> salary</w:t>
      </w:r>
      <w:r w:rsidR="00994FDB" w:rsidRPr="00552187">
        <w:t xml:space="preserve"> (57.2%)</w:t>
      </w:r>
      <w:r w:rsidR="006F0356" w:rsidRPr="00552187">
        <w:t xml:space="preserve"> and progression</w:t>
      </w:r>
      <w:r w:rsidR="00994FDB" w:rsidRPr="00552187">
        <w:t xml:space="preserve"> (</w:t>
      </w:r>
      <w:r w:rsidR="00DA3E6D" w:rsidRPr="00552187">
        <w:t>71.8%).</w:t>
      </w:r>
    </w:p>
    <w:p w14:paraId="2B5BC05A" w14:textId="5B762954" w:rsidR="00E10A62" w:rsidRPr="00552187" w:rsidRDefault="00E10A62" w:rsidP="00531D6D">
      <w:pPr>
        <w:spacing w:after="0" w:line="360" w:lineRule="auto"/>
      </w:pPr>
    </w:p>
    <w:p w14:paraId="56BD8C86" w14:textId="40B903DC" w:rsidR="00E10A62" w:rsidRPr="00552187" w:rsidRDefault="00E10A62" w:rsidP="00531D6D">
      <w:pPr>
        <w:spacing w:after="0" w:line="360" w:lineRule="auto"/>
      </w:pPr>
    </w:p>
    <w:p w14:paraId="03C6D9FA" w14:textId="1A4C3B46" w:rsidR="00062D98" w:rsidRPr="00552187" w:rsidRDefault="00D21435" w:rsidP="00531D6D">
      <w:pPr>
        <w:pStyle w:val="Heading2"/>
      </w:pPr>
      <w:r w:rsidRPr="00552187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68481" behindDoc="1" locked="0" layoutInCell="1" allowOverlap="1" wp14:anchorId="35C8FDBE" wp14:editId="4D90DDD2">
            <wp:simplePos x="0" y="0"/>
            <wp:positionH relativeFrom="margin">
              <wp:posOffset>2435934</wp:posOffset>
            </wp:positionH>
            <wp:positionV relativeFrom="paragraph">
              <wp:posOffset>74476</wp:posOffset>
            </wp:positionV>
            <wp:extent cx="3474720" cy="2224405"/>
            <wp:effectExtent l="0" t="0" r="0" b="0"/>
            <wp:wrapSquare wrapText="bothSides"/>
            <wp:docPr id="2012669829" name="Picture 6" descr="A graph of blue and bl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69829" name="Picture 6" descr="A graph of blue and bla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D98" w:rsidRPr="00552187">
        <w:t>Skills &amp; training</w:t>
      </w:r>
    </w:p>
    <w:p w14:paraId="45981744" w14:textId="6D694F55" w:rsidR="00002B00" w:rsidRPr="00552187" w:rsidRDefault="00AE667B" w:rsidP="00531D6D">
      <w:pPr>
        <w:spacing w:after="0" w:line="360" w:lineRule="auto"/>
      </w:pPr>
      <w:r w:rsidRPr="00552187">
        <w:t xml:space="preserve">When asked </w:t>
      </w:r>
      <w:r w:rsidR="00DE0625" w:rsidRPr="00552187">
        <w:t>if they felt they had a skill or knowledge gap in any generic, or planning</w:t>
      </w:r>
      <w:r w:rsidR="003A2357" w:rsidRPr="00552187">
        <w:t xml:space="preserve"> </w:t>
      </w:r>
      <w:r w:rsidR="00DE0625" w:rsidRPr="00552187">
        <w:t>specific areas, the highest reported generic skills gap was business development (</w:t>
      </w:r>
      <w:r w:rsidR="00C942C1" w:rsidRPr="00552187">
        <w:t>39.3%), followed by negotiation and mediation, and people management (30.8%; 23.1%).</w:t>
      </w:r>
      <w:r w:rsidR="003A2357" w:rsidRPr="00552187">
        <w:t xml:space="preserve"> A</w:t>
      </w:r>
      <w:r w:rsidR="003F37B2" w:rsidRPr="00552187">
        <w:t>round a</w:t>
      </w:r>
      <w:r w:rsidR="003A2357" w:rsidRPr="00552187">
        <w:t xml:space="preserve"> fifth of </w:t>
      </w:r>
      <w:r w:rsidR="003A2357" w:rsidRPr="00552187">
        <w:lastRenderedPageBreak/>
        <w:t>respondents</w:t>
      </w:r>
      <w:r w:rsidR="003F37B2" w:rsidRPr="00552187">
        <w:t xml:space="preserve"> (20.5%) said they had a skill gap in project management, community engagement, </w:t>
      </w:r>
      <w:r w:rsidR="00213C32" w:rsidRPr="00552187">
        <w:t>or</w:t>
      </w:r>
      <w:r w:rsidR="003F37B2" w:rsidRPr="00552187">
        <w:t xml:space="preserve"> research.</w:t>
      </w:r>
      <w:r w:rsidR="00DD3A16" w:rsidRPr="00552187">
        <w:t xml:space="preserve"> </w:t>
      </w:r>
    </w:p>
    <w:p w14:paraId="2050D5EA" w14:textId="715FADD9" w:rsidR="00DE0625" w:rsidRPr="00552187" w:rsidRDefault="003A2357" w:rsidP="00531D6D">
      <w:pPr>
        <w:spacing w:after="0" w:line="360" w:lineRule="auto"/>
      </w:pPr>
      <w:r w:rsidRPr="00552187">
        <w:t>In planning specific areas, the most reported gaps were in marine planning</w:t>
      </w:r>
      <w:r w:rsidR="00DD3A16" w:rsidRPr="00552187">
        <w:t xml:space="preserve"> (46.2%), digital, data and GIS</w:t>
      </w:r>
      <w:r w:rsidR="00967A40" w:rsidRPr="00552187">
        <w:t xml:space="preserve"> (41%)</w:t>
      </w:r>
      <w:r w:rsidR="00DD3A16" w:rsidRPr="00552187">
        <w:t>, and energy and re</w:t>
      </w:r>
      <w:r w:rsidR="00967A40" w:rsidRPr="00552187">
        <w:t>newables (39.3%).</w:t>
      </w:r>
      <w:r w:rsidR="0047320E" w:rsidRPr="00552187">
        <w:t xml:space="preserve"> </w:t>
      </w:r>
      <w:r w:rsidR="00967A40" w:rsidRPr="00552187">
        <w:t xml:space="preserve">Both infrastructure and utilities and planning law were reported as skill or knowledge gaps by </w:t>
      </w:r>
      <w:r w:rsidR="0047320E" w:rsidRPr="00552187">
        <w:t>28.2%.</w:t>
      </w:r>
      <w:r w:rsidR="00DC5EC3" w:rsidRPr="00552187">
        <w:t xml:space="preserve"> </w:t>
      </w:r>
      <w:r w:rsidR="005E48B7" w:rsidRPr="00552187">
        <w:t xml:space="preserve">Just under half of respondents (47.9%) were </w:t>
      </w:r>
      <w:r w:rsidR="00B16715" w:rsidRPr="00552187">
        <w:t>somewhat or very satisfied with their training</w:t>
      </w:r>
      <w:r w:rsidR="00861FEB" w:rsidRPr="00552187">
        <w:t xml:space="preserve"> opportunities (compared to 31.6% somewhat or very unsatisfied)</w:t>
      </w:r>
      <w:r w:rsidR="008F6909" w:rsidRPr="00552187">
        <w:t>.</w:t>
      </w:r>
    </w:p>
    <w:p w14:paraId="0D9A2FC4" w14:textId="77777777" w:rsidR="0097201A" w:rsidRPr="00552187" w:rsidRDefault="0097201A" w:rsidP="00531D6D">
      <w:pPr>
        <w:spacing w:after="0" w:line="360" w:lineRule="auto"/>
      </w:pPr>
    </w:p>
    <w:p w14:paraId="46ED068F" w14:textId="014AE18F" w:rsidR="006B5375" w:rsidRPr="00552187" w:rsidRDefault="005C45B2" w:rsidP="00531D6D">
      <w:pPr>
        <w:pStyle w:val="Heading2"/>
      </w:pPr>
      <w:r w:rsidRPr="00552187">
        <w:drawing>
          <wp:anchor distT="0" distB="0" distL="114300" distR="114300" simplePos="0" relativeHeight="251670529" behindDoc="1" locked="0" layoutInCell="1" allowOverlap="1" wp14:anchorId="10AE3011" wp14:editId="15B0BFBC">
            <wp:simplePos x="0" y="0"/>
            <wp:positionH relativeFrom="margin">
              <wp:posOffset>2542366</wp:posOffset>
            </wp:positionH>
            <wp:positionV relativeFrom="paragraph">
              <wp:posOffset>91110</wp:posOffset>
            </wp:positionV>
            <wp:extent cx="3463290" cy="2328545"/>
            <wp:effectExtent l="0" t="0" r="0" b="0"/>
            <wp:wrapSquare wrapText="bothSides"/>
            <wp:docPr id="298659558" name="Picture 1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659558" name="Picture 12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626" w:rsidRPr="00552187">
        <w:t>Wellbeing</w:t>
      </w:r>
    </w:p>
    <w:p w14:paraId="0BAD131E" w14:textId="1AD1E500" w:rsidR="009B129D" w:rsidRPr="00552187" w:rsidRDefault="00BE1699" w:rsidP="00531D6D">
      <w:pPr>
        <w:spacing w:line="360" w:lineRule="auto"/>
      </w:pPr>
      <w:r w:rsidRPr="00552187">
        <w:t xml:space="preserve">A </w:t>
      </w:r>
      <w:r w:rsidR="008810AF" w:rsidRPr="00552187">
        <w:t xml:space="preserve">marginally </w:t>
      </w:r>
      <w:r w:rsidRPr="00552187">
        <w:t>higher proportion of respondents were somewhat or very pessimistic</w:t>
      </w:r>
      <w:r w:rsidR="005E06E7" w:rsidRPr="00552187">
        <w:t xml:space="preserve"> (39.3%)</w:t>
      </w:r>
      <w:r w:rsidRPr="00552187">
        <w:t xml:space="preserve"> about the future direction of their planning system</w:t>
      </w:r>
      <w:r w:rsidR="00B96D70" w:rsidRPr="00552187">
        <w:t xml:space="preserve"> than were optimistic</w:t>
      </w:r>
      <w:r w:rsidR="005E06E7" w:rsidRPr="00552187">
        <w:t xml:space="preserve"> (</w:t>
      </w:r>
      <w:r w:rsidR="00406283" w:rsidRPr="00552187">
        <w:t>36.8%).</w:t>
      </w:r>
      <w:r w:rsidR="00A97784" w:rsidRPr="00552187">
        <w:t xml:space="preserve"> When asked how often their team lacked capacity to meet demand, </w:t>
      </w:r>
      <w:r w:rsidR="001C31B3" w:rsidRPr="00552187">
        <w:t xml:space="preserve">just </w:t>
      </w:r>
      <w:r w:rsidR="0094372A" w:rsidRPr="00552187">
        <w:t xml:space="preserve">over half </w:t>
      </w:r>
      <w:r w:rsidR="00AF37B9" w:rsidRPr="00552187">
        <w:t xml:space="preserve">said they lacked capacity occasionally (51.3%), while </w:t>
      </w:r>
      <w:r w:rsidR="001C31B3" w:rsidRPr="00552187">
        <w:t xml:space="preserve">37.7% reported lacking capacity frequently, or </w:t>
      </w:r>
      <w:r w:rsidR="00131B09" w:rsidRPr="00552187">
        <w:t>all</w:t>
      </w:r>
      <w:r w:rsidR="001C31B3" w:rsidRPr="00552187">
        <w:t xml:space="preserve"> the time.</w:t>
      </w:r>
      <w:r w:rsidR="003C773B" w:rsidRPr="00552187">
        <w:t xml:space="preserve"> </w:t>
      </w:r>
      <w:r w:rsidR="009B129D" w:rsidRPr="00552187">
        <w:t xml:space="preserve">A slightly higher proportion (42.8%) reported feeling personally overstretched frequently or all the time. </w:t>
      </w:r>
    </w:p>
    <w:p w14:paraId="2F1211CB" w14:textId="03E97D64" w:rsidR="00412882" w:rsidRPr="00552187" w:rsidRDefault="00412882" w:rsidP="00531D6D">
      <w:pPr>
        <w:spacing w:line="360" w:lineRule="auto"/>
      </w:pPr>
      <w:r w:rsidRPr="00552187">
        <w:t>The most reported reason for lacking capacity was high workloads (19.7%), followed by increas</w:t>
      </w:r>
      <w:r w:rsidR="00F33891" w:rsidRPr="00552187">
        <w:t>ed</w:t>
      </w:r>
      <w:r w:rsidRPr="00552187">
        <w:t xml:space="preserve"> complexity (17.1%)</w:t>
      </w:r>
      <w:r w:rsidR="00F33891" w:rsidRPr="00552187">
        <w:t>, and recruitment difficulties (11.1%).</w:t>
      </w:r>
    </w:p>
    <w:p w14:paraId="3EF0CC86" w14:textId="0E07E140" w:rsidR="00CB6DFD" w:rsidRPr="00552187" w:rsidRDefault="00AB3E7D" w:rsidP="00531D6D">
      <w:pPr>
        <w:spacing w:line="360" w:lineRule="auto"/>
      </w:pPr>
      <w:r w:rsidRPr="00552187">
        <w:rPr>
          <w:noProof/>
        </w:rPr>
        <w:drawing>
          <wp:anchor distT="0" distB="0" distL="114300" distR="114300" simplePos="0" relativeHeight="251672577" behindDoc="1" locked="0" layoutInCell="1" allowOverlap="1" wp14:anchorId="4D067A20" wp14:editId="68E05BCB">
            <wp:simplePos x="0" y="0"/>
            <wp:positionH relativeFrom="margin">
              <wp:posOffset>-296545</wp:posOffset>
            </wp:positionH>
            <wp:positionV relativeFrom="paragraph">
              <wp:posOffset>5715</wp:posOffset>
            </wp:positionV>
            <wp:extent cx="3241675" cy="2367915"/>
            <wp:effectExtent l="0" t="0" r="0" b="0"/>
            <wp:wrapSquare wrapText="bothSides"/>
            <wp:docPr id="1977603377" name="Picture 18" descr="A blue pie chart with green and blue col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03377" name="Picture 18" descr="A blue pie chart with green and blue colo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23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F7C" w:rsidRPr="00552187">
        <w:t xml:space="preserve">Among international member respondents, </w:t>
      </w:r>
      <w:r w:rsidR="005B3FD9" w:rsidRPr="00552187">
        <w:t xml:space="preserve">37.6% </w:t>
      </w:r>
      <w:r w:rsidR="006F750B" w:rsidRPr="00552187">
        <w:t>reported having experienced abuse while working as a planner</w:t>
      </w:r>
      <w:r w:rsidR="005B3FD9" w:rsidRPr="00552187">
        <w:t>. T</w:t>
      </w:r>
      <w:r w:rsidR="006F750B" w:rsidRPr="00552187">
        <w:t xml:space="preserve">his </w:t>
      </w:r>
      <w:r w:rsidR="00F60558" w:rsidRPr="00552187">
        <w:t>i</w:t>
      </w:r>
      <w:r w:rsidR="006F750B" w:rsidRPr="00552187">
        <w:t xml:space="preserve">s </w:t>
      </w:r>
      <w:r w:rsidR="00F60558" w:rsidRPr="00552187">
        <w:t>notably</w:t>
      </w:r>
      <w:r w:rsidR="006F750B" w:rsidRPr="00552187">
        <w:t xml:space="preserve"> lower </w:t>
      </w:r>
      <w:r w:rsidR="005B3FD9" w:rsidRPr="00552187">
        <w:t>than</w:t>
      </w:r>
      <w:r w:rsidR="006F750B" w:rsidRPr="00552187">
        <w:t xml:space="preserve"> </w:t>
      </w:r>
      <w:r w:rsidR="005B3FD9" w:rsidRPr="00552187">
        <w:t xml:space="preserve">the 65% to 71% of members in UK nations </w:t>
      </w:r>
      <w:r w:rsidR="00F60558" w:rsidRPr="00552187">
        <w:t>who had experienced abuse</w:t>
      </w:r>
      <w:r w:rsidR="00A642DA" w:rsidRPr="00552187">
        <w:t>.</w:t>
      </w:r>
      <w:r w:rsidR="001B46AE" w:rsidRPr="00552187">
        <w:t xml:space="preserve"> </w:t>
      </w:r>
      <w:r w:rsidR="002552DB" w:rsidRPr="00552187">
        <w:t>Around</w:t>
      </w:r>
      <w:r w:rsidR="00327AB7" w:rsidRPr="00552187">
        <w:t xml:space="preserve"> half (48.8%) of international respondents thought that the public </w:t>
      </w:r>
      <w:r w:rsidR="00CE413A" w:rsidRPr="00552187">
        <w:t xml:space="preserve">had an unfavourable view of the planning profession. This was </w:t>
      </w:r>
      <w:r w:rsidR="002552DB" w:rsidRPr="00552187">
        <w:t>almost double the percentage who thought the public’s perception of the planning profession was positive (24.8%).</w:t>
      </w:r>
      <w:r w:rsidR="006A6FFC" w:rsidRPr="00552187">
        <w:t xml:space="preserve"> </w:t>
      </w:r>
      <w:r w:rsidR="00415EB7" w:rsidRPr="00552187">
        <w:t>The</w:t>
      </w:r>
      <w:r w:rsidR="00671B9A" w:rsidRPr="00552187">
        <w:t xml:space="preserve"> reported</w:t>
      </w:r>
      <w:r w:rsidR="00415EB7" w:rsidRPr="00552187">
        <w:t xml:space="preserve"> effect of public perception on the wellbeing of respondents was</w:t>
      </w:r>
      <w:r w:rsidR="006A6FFC" w:rsidRPr="00552187">
        <w:t xml:space="preserve"> relatively</w:t>
      </w:r>
      <w:r w:rsidR="00415EB7" w:rsidRPr="00552187">
        <w:t xml:space="preserve"> </w:t>
      </w:r>
      <w:r w:rsidR="0032679D" w:rsidRPr="00552187">
        <w:t xml:space="preserve">evenly split between </w:t>
      </w:r>
      <w:r w:rsidR="00D83ADA" w:rsidRPr="00552187">
        <w:t xml:space="preserve">a </w:t>
      </w:r>
      <w:r w:rsidR="0032679D" w:rsidRPr="00552187">
        <w:t>negative</w:t>
      </w:r>
      <w:r w:rsidR="00671B9A" w:rsidRPr="00552187">
        <w:t xml:space="preserve"> effect</w:t>
      </w:r>
      <w:r w:rsidR="0032679D" w:rsidRPr="00552187">
        <w:t xml:space="preserve"> (32.5%), </w:t>
      </w:r>
      <w:r w:rsidR="006A6FFC" w:rsidRPr="00552187">
        <w:t xml:space="preserve">positive </w:t>
      </w:r>
      <w:r w:rsidR="00D83ADA" w:rsidRPr="00552187">
        <w:t xml:space="preserve">effect </w:t>
      </w:r>
      <w:r w:rsidR="006A6FFC" w:rsidRPr="00552187">
        <w:t>(34.2%)</w:t>
      </w:r>
      <w:r w:rsidR="00671B9A" w:rsidRPr="00552187">
        <w:t xml:space="preserve">, and </w:t>
      </w:r>
      <w:r w:rsidR="00490C6E" w:rsidRPr="00552187">
        <w:t>no effect</w:t>
      </w:r>
      <w:r w:rsidR="00671B9A" w:rsidRPr="00552187">
        <w:t xml:space="preserve"> (33.3%)</w:t>
      </w:r>
      <w:r w:rsidR="006A6FFC" w:rsidRPr="00552187">
        <w:t>.</w:t>
      </w:r>
    </w:p>
    <w:p w14:paraId="7DAC8A62" w14:textId="5F5918CF" w:rsidR="00CC5DB4" w:rsidRPr="00552187" w:rsidRDefault="00BE0FBD" w:rsidP="00531D6D">
      <w:pPr>
        <w:spacing w:line="360" w:lineRule="auto"/>
      </w:pPr>
      <w:r w:rsidRPr="00552187">
        <w:rPr>
          <w:noProof/>
        </w:rPr>
        <w:lastRenderedPageBreak/>
        <w:drawing>
          <wp:anchor distT="0" distB="0" distL="114300" distR="114300" simplePos="0" relativeHeight="251671553" behindDoc="0" locked="0" layoutInCell="1" allowOverlap="1" wp14:anchorId="43DE3700" wp14:editId="2D9C0CAE">
            <wp:simplePos x="0" y="0"/>
            <wp:positionH relativeFrom="margin">
              <wp:posOffset>2197735</wp:posOffset>
            </wp:positionH>
            <wp:positionV relativeFrom="paragraph">
              <wp:posOffset>13970</wp:posOffset>
            </wp:positionV>
            <wp:extent cx="3692525" cy="2441575"/>
            <wp:effectExtent l="0" t="0" r="0" b="0"/>
            <wp:wrapSquare wrapText="bothSides"/>
            <wp:docPr id="2028895364" name="Picture 1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95364" name="Picture 1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6BB" w:rsidRPr="00552187">
        <w:t xml:space="preserve">Despite </w:t>
      </w:r>
      <w:r w:rsidR="00E05CDD" w:rsidRPr="00552187">
        <w:t>a significant minority reporting a lack of capacity, personal overstretch</w:t>
      </w:r>
      <w:r w:rsidR="00545266" w:rsidRPr="00552187">
        <w:t xml:space="preserve"> and a more negative than positive public perception of the profession, a </w:t>
      </w:r>
      <w:r w:rsidR="00155631" w:rsidRPr="00552187">
        <w:t>sizeable</w:t>
      </w:r>
      <w:r w:rsidR="00545266" w:rsidRPr="00552187">
        <w:t xml:space="preserve"> majority of </w:t>
      </w:r>
      <w:r w:rsidR="00155631" w:rsidRPr="00552187">
        <w:t>65.8% of international respondents were happy working in planning.</w:t>
      </w:r>
      <w:r w:rsidR="00D94549" w:rsidRPr="00552187">
        <w:t xml:space="preserve"> </w:t>
      </w:r>
    </w:p>
    <w:p w14:paraId="3958FF16" w14:textId="77777777" w:rsidR="00D21435" w:rsidRPr="00552187" w:rsidRDefault="00D21435" w:rsidP="00531D6D">
      <w:pPr>
        <w:spacing w:line="360" w:lineRule="auto"/>
      </w:pPr>
    </w:p>
    <w:p w14:paraId="2B024AF6" w14:textId="4BED839C" w:rsidR="008E6B6C" w:rsidRPr="00552187" w:rsidRDefault="00A14458" w:rsidP="00531D6D">
      <w:pPr>
        <w:pStyle w:val="Heading2"/>
      </w:pPr>
      <w:r>
        <w:t>Greatest c</w:t>
      </w:r>
      <w:r w:rsidR="008E6B6C" w:rsidRPr="00552187">
        <w:t>hallenges</w:t>
      </w:r>
    </w:p>
    <w:p w14:paraId="2409F503" w14:textId="6C050176" w:rsidR="00D04FE8" w:rsidRPr="00552187" w:rsidRDefault="008A3C22" w:rsidP="00531D6D">
      <w:pPr>
        <w:spacing w:line="360" w:lineRule="auto"/>
        <w:rPr>
          <w:lang w:eastAsia="en-GB"/>
        </w:rPr>
      </w:pPr>
      <w:r w:rsidRPr="00552187">
        <w:rPr>
          <w:lang w:eastAsia="en-GB"/>
        </w:rPr>
        <w:t>While there is a limit to how much can be generalised across international respondents, w</w:t>
      </w:r>
      <w:r w:rsidR="00D04FE8" w:rsidRPr="00552187">
        <w:rPr>
          <w:lang w:eastAsia="en-GB"/>
        </w:rPr>
        <w:t xml:space="preserve">hen asked what they thought was the greatest challenge facing the planning profession, </w:t>
      </w:r>
      <w:r w:rsidRPr="00552187">
        <w:rPr>
          <w:lang w:eastAsia="en-GB"/>
        </w:rPr>
        <w:t xml:space="preserve">there were </w:t>
      </w:r>
      <w:r w:rsidR="00864114" w:rsidRPr="00552187">
        <w:rPr>
          <w:lang w:eastAsia="en-GB"/>
        </w:rPr>
        <w:t xml:space="preserve">some overarching themes. </w:t>
      </w:r>
      <w:r w:rsidRPr="00552187">
        <w:rPr>
          <w:lang w:eastAsia="en-GB"/>
        </w:rPr>
        <w:t>O</w:t>
      </w:r>
      <w:r w:rsidR="005D7BAE" w:rsidRPr="00552187">
        <w:rPr>
          <w:lang w:eastAsia="en-GB"/>
        </w:rPr>
        <w:t xml:space="preserve">ne of the </w:t>
      </w:r>
      <w:r w:rsidR="007D6122" w:rsidRPr="00552187">
        <w:rPr>
          <w:lang w:eastAsia="en-GB"/>
        </w:rPr>
        <w:t>primary concerns</w:t>
      </w:r>
      <w:r w:rsidR="005D7BAE" w:rsidRPr="00552187">
        <w:rPr>
          <w:lang w:eastAsia="en-GB"/>
        </w:rPr>
        <w:t xml:space="preserve"> </w:t>
      </w:r>
      <w:r w:rsidR="003D48DA" w:rsidRPr="00552187">
        <w:rPr>
          <w:lang w:eastAsia="en-GB"/>
        </w:rPr>
        <w:t xml:space="preserve">was </w:t>
      </w:r>
      <w:r w:rsidR="005D7BAE" w:rsidRPr="00552187">
        <w:rPr>
          <w:lang w:eastAsia="en-GB"/>
        </w:rPr>
        <w:t>climate change</w:t>
      </w:r>
      <w:r w:rsidR="00D8099B" w:rsidRPr="00552187">
        <w:rPr>
          <w:lang w:eastAsia="en-GB"/>
        </w:rPr>
        <w:t>.</w:t>
      </w:r>
      <w:r w:rsidR="003D48DA" w:rsidRPr="00552187">
        <w:rPr>
          <w:lang w:eastAsia="en-GB"/>
        </w:rPr>
        <w:t xml:space="preserve"> </w:t>
      </w:r>
      <w:r w:rsidR="005B3069" w:rsidRPr="00552187">
        <w:rPr>
          <w:lang w:eastAsia="en-GB"/>
        </w:rPr>
        <w:t>In</w:t>
      </w:r>
      <w:r w:rsidR="00D8099B" w:rsidRPr="00552187">
        <w:rPr>
          <w:lang w:eastAsia="en-GB"/>
        </w:rPr>
        <w:t xml:space="preserve"> the words of a planner working in East Asia and the Pacific</w:t>
      </w:r>
      <w:r w:rsidR="00701F34" w:rsidRPr="00552187">
        <w:rPr>
          <w:lang w:eastAsia="en-GB"/>
        </w:rPr>
        <w:t xml:space="preserve">, the greatest challenge will </w:t>
      </w:r>
      <w:r w:rsidR="000018FE" w:rsidRPr="00552187">
        <w:rPr>
          <w:lang w:eastAsia="en-GB"/>
        </w:rPr>
        <w:t>be</w:t>
      </w:r>
      <w:r w:rsidR="00D8099B" w:rsidRPr="00552187">
        <w:rPr>
          <w:lang w:eastAsia="en-GB"/>
        </w:rPr>
        <w:t xml:space="preserve"> “delivering more inclusive, climate-resilient and affordable development in the face of rapid urban change</w:t>
      </w:r>
      <w:r w:rsidR="00E65B64" w:rsidRPr="00552187">
        <w:rPr>
          <w:lang w:eastAsia="en-GB"/>
        </w:rPr>
        <w:t xml:space="preserve">” </w:t>
      </w:r>
      <w:r w:rsidR="00045881" w:rsidRPr="00552187">
        <w:rPr>
          <w:lang w:eastAsia="en-GB"/>
        </w:rPr>
        <w:t>while</w:t>
      </w:r>
      <w:r w:rsidR="00E65B64" w:rsidRPr="00552187">
        <w:rPr>
          <w:lang w:eastAsia="en-GB"/>
        </w:rPr>
        <w:t xml:space="preserve"> “</w:t>
      </w:r>
      <w:r w:rsidR="00D8099B" w:rsidRPr="00552187">
        <w:rPr>
          <w:lang w:eastAsia="en-GB"/>
        </w:rPr>
        <w:t>balancing growth pressures with social equity, sustainability, and the need for stronger public trust in planning processes</w:t>
      </w:r>
      <w:r w:rsidR="00E65B64" w:rsidRPr="00552187">
        <w:rPr>
          <w:lang w:eastAsia="en-GB"/>
        </w:rPr>
        <w:t>.</w:t>
      </w:r>
      <w:r w:rsidR="00D8099B" w:rsidRPr="00552187">
        <w:rPr>
          <w:lang w:eastAsia="en-GB"/>
        </w:rPr>
        <w:t>”</w:t>
      </w:r>
      <w:r w:rsidR="005E48E4" w:rsidRPr="00552187">
        <w:rPr>
          <w:lang w:eastAsia="en-GB"/>
        </w:rPr>
        <w:t xml:space="preserve"> </w:t>
      </w:r>
      <w:r w:rsidR="00320E9C" w:rsidRPr="00552187">
        <w:rPr>
          <w:lang w:eastAsia="en-GB"/>
        </w:rPr>
        <w:t>The level of public trust in the planning profession</w:t>
      </w:r>
      <w:r w:rsidR="002A5B8F" w:rsidRPr="00552187">
        <w:rPr>
          <w:lang w:eastAsia="en-GB"/>
        </w:rPr>
        <w:t xml:space="preserve"> was thought important </w:t>
      </w:r>
      <w:r w:rsidR="00B36D63" w:rsidRPr="00552187">
        <w:rPr>
          <w:lang w:eastAsia="en-GB"/>
        </w:rPr>
        <w:t xml:space="preserve">to help </w:t>
      </w:r>
      <w:r w:rsidR="002C3CF1" w:rsidRPr="00552187">
        <w:rPr>
          <w:lang w:eastAsia="en-GB"/>
        </w:rPr>
        <w:t xml:space="preserve">address </w:t>
      </w:r>
      <w:r w:rsidR="00F33C12" w:rsidRPr="00552187">
        <w:rPr>
          <w:lang w:eastAsia="en-GB"/>
        </w:rPr>
        <w:t>the</w:t>
      </w:r>
      <w:r w:rsidR="002C3CF1" w:rsidRPr="00552187">
        <w:rPr>
          <w:lang w:eastAsia="en-GB"/>
        </w:rPr>
        <w:t xml:space="preserve"> climate</w:t>
      </w:r>
      <w:r w:rsidR="00F33C12" w:rsidRPr="00552187">
        <w:rPr>
          <w:lang w:eastAsia="en-GB"/>
        </w:rPr>
        <w:t xml:space="preserve"> crisis, </w:t>
      </w:r>
      <w:r w:rsidR="002C3CF1" w:rsidRPr="00552187">
        <w:rPr>
          <w:lang w:eastAsia="en-GB"/>
        </w:rPr>
        <w:t>housing</w:t>
      </w:r>
      <w:r w:rsidR="00F33C12" w:rsidRPr="00552187">
        <w:rPr>
          <w:lang w:eastAsia="en-GB"/>
        </w:rPr>
        <w:t>, and other issues</w:t>
      </w:r>
      <w:r w:rsidR="007940E1" w:rsidRPr="00552187">
        <w:rPr>
          <w:lang w:eastAsia="en-GB"/>
        </w:rPr>
        <w:t>.</w:t>
      </w:r>
      <w:r w:rsidR="005C7E86" w:rsidRPr="00552187">
        <w:rPr>
          <w:lang w:eastAsia="en-GB"/>
        </w:rPr>
        <w:t xml:space="preserve"> A local government planner in the Americas </w:t>
      </w:r>
      <w:r w:rsidR="00240104" w:rsidRPr="00552187">
        <w:rPr>
          <w:lang w:eastAsia="en-GB"/>
        </w:rPr>
        <w:t>contended</w:t>
      </w:r>
      <w:r w:rsidR="005C7E86" w:rsidRPr="00552187">
        <w:rPr>
          <w:lang w:eastAsia="en-GB"/>
        </w:rPr>
        <w:t xml:space="preserve"> that “the profession is important in building communities (and housing)</w:t>
      </w:r>
      <w:r w:rsidR="004534F3" w:rsidRPr="00552187">
        <w:rPr>
          <w:lang w:eastAsia="en-GB"/>
        </w:rPr>
        <w:t>” and could be part of the solution, but “w</w:t>
      </w:r>
      <w:r w:rsidR="005C7E86" w:rsidRPr="00552187">
        <w:rPr>
          <w:lang w:eastAsia="en-GB"/>
        </w:rPr>
        <w:t>e're not doing that right now</w:t>
      </w:r>
      <w:r w:rsidR="002922E2" w:rsidRPr="00552187">
        <w:rPr>
          <w:lang w:eastAsia="en-GB"/>
        </w:rPr>
        <w:t xml:space="preserve">… </w:t>
      </w:r>
      <w:r w:rsidR="005C7E86" w:rsidRPr="00552187">
        <w:rPr>
          <w:lang w:eastAsia="en-GB"/>
        </w:rPr>
        <w:t>leading us to become punching bags.”</w:t>
      </w:r>
    </w:p>
    <w:p w14:paraId="436128DD" w14:textId="3DE174B1" w:rsidR="007D6122" w:rsidRPr="00552187" w:rsidRDefault="001E7030" w:rsidP="00531D6D">
      <w:pPr>
        <w:spacing w:line="360" w:lineRule="auto"/>
        <w:rPr>
          <w:lang w:eastAsia="en-GB"/>
        </w:rPr>
      </w:pPr>
      <w:r w:rsidRPr="00552187">
        <w:rPr>
          <w:lang w:eastAsia="en-GB"/>
        </w:rPr>
        <w:t xml:space="preserve">International respondents were also grappling with the changing role of a </w:t>
      </w:r>
      <w:r w:rsidR="006B0CB2" w:rsidRPr="00552187">
        <w:rPr>
          <w:lang w:eastAsia="en-GB"/>
        </w:rPr>
        <w:t>planner</w:t>
      </w:r>
      <w:r w:rsidR="00E76662" w:rsidRPr="00552187">
        <w:rPr>
          <w:lang w:eastAsia="en-GB"/>
        </w:rPr>
        <w:t>. O</w:t>
      </w:r>
      <w:r w:rsidR="00437FB9" w:rsidRPr="00552187">
        <w:rPr>
          <w:lang w:eastAsia="en-GB"/>
        </w:rPr>
        <w:t xml:space="preserve">ne strategic planner </w:t>
      </w:r>
      <w:r w:rsidR="00E76662" w:rsidRPr="00552187">
        <w:rPr>
          <w:lang w:eastAsia="en-GB"/>
        </w:rPr>
        <w:t>noted</w:t>
      </w:r>
      <w:r w:rsidR="00437FB9" w:rsidRPr="00552187">
        <w:rPr>
          <w:lang w:eastAsia="en-GB"/>
        </w:rPr>
        <w:t xml:space="preserve"> t</w:t>
      </w:r>
      <w:r w:rsidRPr="00552187">
        <w:rPr>
          <w:lang w:eastAsia="en-GB"/>
        </w:rPr>
        <w:t xml:space="preserve">he </w:t>
      </w:r>
      <w:r w:rsidR="00B77D15" w:rsidRPr="00552187">
        <w:rPr>
          <w:lang w:eastAsia="en-GB"/>
        </w:rPr>
        <w:t>increasing proportion of tim</w:t>
      </w:r>
      <w:r w:rsidR="00DA23CE" w:rsidRPr="00552187">
        <w:rPr>
          <w:lang w:eastAsia="en-GB"/>
        </w:rPr>
        <w:t>e taken for</w:t>
      </w:r>
      <w:r w:rsidR="00ED0911" w:rsidRPr="00552187">
        <w:rPr>
          <w:lang w:eastAsia="en-GB"/>
        </w:rPr>
        <w:t xml:space="preserve"> responsibilities such as “facilitating stakeholders and users to be engaged more in the planning process</w:t>
      </w:r>
      <w:r w:rsidR="00DA23CE" w:rsidRPr="00552187">
        <w:rPr>
          <w:lang w:eastAsia="en-GB"/>
        </w:rPr>
        <w:t xml:space="preserve">”. The place of </w:t>
      </w:r>
      <w:r w:rsidR="0072254D" w:rsidRPr="00552187">
        <w:rPr>
          <w:lang w:eastAsia="en-GB"/>
        </w:rPr>
        <w:t>innovation</w:t>
      </w:r>
      <w:r w:rsidR="00DA23CE" w:rsidRPr="00552187">
        <w:rPr>
          <w:lang w:eastAsia="en-GB"/>
        </w:rPr>
        <w:t xml:space="preserve"> in planning </w:t>
      </w:r>
      <w:r w:rsidR="0072254D" w:rsidRPr="00552187">
        <w:rPr>
          <w:lang w:eastAsia="en-GB"/>
        </w:rPr>
        <w:t xml:space="preserve">was another area of </w:t>
      </w:r>
      <w:r w:rsidR="00C751EB" w:rsidRPr="00552187">
        <w:rPr>
          <w:lang w:eastAsia="en-GB"/>
        </w:rPr>
        <w:t>challenge</w:t>
      </w:r>
      <w:r w:rsidR="0072254D" w:rsidRPr="00552187">
        <w:rPr>
          <w:lang w:eastAsia="en-GB"/>
        </w:rPr>
        <w:t xml:space="preserve"> </w:t>
      </w:r>
      <w:r w:rsidR="00264C61" w:rsidRPr="00552187">
        <w:rPr>
          <w:lang w:eastAsia="en-GB"/>
        </w:rPr>
        <w:t>highlighted,</w:t>
      </w:r>
      <w:r w:rsidR="0072254D" w:rsidRPr="00552187">
        <w:rPr>
          <w:lang w:eastAsia="en-GB"/>
        </w:rPr>
        <w:t xml:space="preserve"> </w:t>
      </w:r>
      <w:r w:rsidR="00C907C9" w:rsidRPr="00552187">
        <w:rPr>
          <w:lang w:eastAsia="en-GB"/>
        </w:rPr>
        <w:t xml:space="preserve">balancing the </w:t>
      </w:r>
      <w:r w:rsidR="007774B4" w:rsidRPr="00552187">
        <w:rPr>
          <w:lang w:eastAsia="en-GB"/>
        </w:rPr>
        <w:t>use of</w:t>
      </w:r>
      <w:r w:rsidR="0072254D" w:rsidRPr="00552187">
        <w:rPr>
          <w:lang w:eastAsia="en-GB"/>
        </w:rPr>
        <w:t xml:space="preserve"> new planning tech innovations </w:t>
      </w:r>
      <w:r w:rsidR="008D48BC" w:rsidRPr="00552187">
        <w:rPr>
          <w:lang w:eastAsia="en-GB"/>
        </w:rPr>
        <w:t xml:space="preserve">like AI </w:t>
      </w:r>
      <w:r w:rsidR="00011C08" w:rsidRPr="00552187">
        <w:rPr>
          <w:lang w:eastAsia="en-GB"/>
        </w:rPr>
        <w:t xml:space="preserve">to improve placemaking </w:t>
      </w:r>
      <w:r w:rsidR="00C907C9" w:rsidRPr="00552187">
        <w:rPr>
          <w:lang w:eastAsia="en-GB"/>
        </w:rPr>
        <w:t>with</w:t>
      </w:r>
      <w:r w:rsidR="00C84558" w:rsidRPr="00552187">
        <w:rPr>
          <w:lang w:eastAsia="en-GB"/>
        </w:rPr>
        <w:t xml:space="preserve"> maintaining skills and engagement</w:t>
      </w:r>
      <w:r w:rsidR="00011C08" w:rsidRPr="00552187">
        <w:rPr>
          <w:lang w:eastAsia="en-GB"/>
        </w:rPr>
        <w:t xml:space="preserve">. </w:t>
      </w:r>
      <w:r w:rsidR="00522E52" w:rsidRPr="00552187">
        <w:rPr>
          <w:lang w:eastAsia="en-GB"/>
        </w:rPr>
        <w:t>A respondent in the Americas was</w:t>
      </w:r>
      <w:r w:rsidR="003F49FF" w:rsidRPr="00552187">
        <w:rPr>
          <w:lang w:eastAsia="en-GB"/>
        </w:rPr>
        <w:t xml:space="preserve"> concerned </w:t>
      </w:r>
      <w:r w:rsidR="00E371EE" w:rsidRPr="00552187">
        <w:rPr>
          <w:lang w:eastAsia="en-GB"/>
        </w:rPr>
        <w:t>that</w:t>
      </w:r>
      <w:r w:rsidR="00E76662" w:rsidRPr="00552187">
        <w:rPr>
          <w:lang w:eastAsia="en-GB"/>
        </w:rPr>
        <w:t xml:space="preserve"> the use of AI in planning needed</w:t>
      </w:r>
      <w:r w:rsidR="00E371EE" w:rsidRPr="00552187">
        <w:rPr>
          <w:lang w:eastAsia="en-GB"/>
        </w:rPr>
        <w:t xml:space="preserve"> </w:t>
      </w:r>
      <w:r w:rsidR="00E76662" w:rsidRPr="00552187">
        <w:rPr>
          <w:lang w:eastAsia="en-GB"/>
        </w:rPr>
        <w:t>“to be carefully monitored” so “critical thinking around land use and policy planning is not undermined”.</w:t>
      </w:r>
      <w:r w:rsidR="00465ADB" w:rsidRPr="00552187">
        <w:rPr>
          <w:lang w:eastAsia="en-GB"/>
        </w:rPr>
        <w:t xml:space="preserve"> In addition, </w:t>
      </w:r>
      <w:r w:rsidR="00F868CE" w:rsidRPr="00552187">
        <w:rPr>
          <w:lang w:eastAsia="en-GB"/>
        </w:rPr>
        <w:t>privacy and data governance concerns meant they thought that “clear guidelines need to be established and use cases properly evaluated” for the use of AI</w:t>
      </w:r>
      <w:r w:rsidR="00E0364F" w:rsidRPr="00552187">
        <w:rPr>
          <w:lang w:eastAsia="en-GB"/>
        </w:rPr>
        <w:t xml:space="preserve"> in planning</w:t>
      </w:r>
      <w:r w:rsidR="00F868CE" w:rsidRPr="00552187">
        <w:rPr>
          <w:lang w:eastAsia="en-GB"/>
        </w:rPr>
        <w:t>.</w:t>
      </w:r>
      <w:r w:rsidR="000909F2" w:rsidRPr="00552187">
        <w:rPr>
          <w:lang w:eastAsia="en-GB"/>
        </w:rPr>
        <w:t xml:space="preserve"> </w:t>
      </w:r>
      <w:r w:rsidR="00D35026" w:rsidRPr="00552187">
        <w:rPr>
          <w:lang w:eastAsia="en-GB"/>
        </w:rPr>
        <w:t>A</w:t>
      </w:r>
      <w:r w:rsidR="000909F2" w:rsidRPr="00552187">
        <w:rPr>
          <w:lang w:eastAsia="en-GB"/>
        </w:rPr>
        <w:t xml:space="preserve">nother respondent in the Americas was concerned </w:t>
      </w:r>
      <w:r w:rsidR="00DB2266" w:rsidRPr="00552187">
        <w:rPr>
          <w:lang w:eastAsia="en-GB"/>
        </w:rPr>
        <w:t>about the</w:t>
      </w:r>
      <w:r w:rsidR="00C110E4" w:rsidRPr="00552187">
        <w:rPr>
          <w:lang w:eastAsia="en-GB"/>
        </w:rPr>
        <w:t xml:space="preserve"> potentially detrimental</w:t>
      </w:r>
      <w:r w:rsidR="00DB2266" w:rsidRPr="00552187">
        <w:rPr>
          <w:lang w:eastAsia="en-GB"/>
        </w:rPr>
        <w:t xml:space="preserve"> impact AI could have on </w:t>
      </w:r>
      <w:r w:rsidR="00390BF5" w:rsidRPr="00552187">
        <w:rPr>
          <w:lang w:eastAsia="en-GB"/>
        </w:rPr>
        <w:t xml:space="preserve">how well graduate planners </w:t>
      </w:r>
      <w:r w:rsidR="00DB2266" w:rsidRPr="00552187">
        <w:rPr>
          <w:lang w:eastAsia="en-GB"/>
        </w:rPr>
        <w:t>were able to</w:t>
      </w:r>
      <w:r w:rsidR="00390BF5" w:rsidRPr="00552187">
        <w:rPr>
          <w:lang w:eastAsia="en-GB"/>
        </w:rPr>
        <w:t xml:space="preserve"> apply </w:t>
      </w:r>
      <w:r w:rsidR="006F5E9A" w:rsidRPr="00552187">
        <w:rPr>
          <w:lang w:eastAsia="en-GB"/>
        </w:rPr>
        <w:t>research and analysis skills after graduating</w:t>
      </w:r>
      <w:r w:rsidR="00E03C6C" w:rsidRPr="00552187">
        <w:rPr>
          <w:lang w:eastAsia="en-GB"/>
        </w:rPr>
        <w:t>.</w:t>
      </w:r>
    </w:p>
    <w:p w14:paraId="7174E968" w14:textId="691DD167" w:rsidR="00441311" w:rsidRPr="00552187" w:rsidRDefault="000F5529" w:rsidP="00531D6D">
      <w:pPr>
        <w:spacing w:line="360" w:lineRule="auto"/>
        <w:rPr>
          <w:lang w:eastAsia="en-GB"/>
        </w:rPr>
      </w:pPr>
      <w:r w:rsidRPr="00552187">
        <w:rPr>
          <w:lang w:eastAsia="en-GB"/>
        </w:rPr>
        <w:t xml:space="preserve">Economic downturns and market health were raised by </w:t>
      </w:r>
      <w:r w:rsidR="00184418" w:rsidRPr="00552187">
        <w:rPr>
          <w:lang w:eastAsia="en-GB"/>
        </w:rPr>
        <w:t>several</w:t>
      </w:r>
      <w:r w:rsidRPr="00552187">
        <w:rPr>
          <w:lang w:eastAsia="en-GB"/>
        </w:rPr>
        <w:t xml:space="preserve"> respondents, who feared that </w:t>
      </w:r>
      <w:r w:rsidR="00AA1691" w:rsidRPr="00552187">
        <w:rPr>
          <w:lang w:eastAsia="en-GB"/>
        </w:rPr>
        <w:t>more difficult economic conditions could hinder progress</w:t>
      </w:r>
      <w:r w:rsidR="004A6F77" w:rsidRPr="00552187">
        <w:rPr>
          <w:lang w:eastAsia="en-GB"/>
        </w:rPr>
        <w:t xml:space="preserve"> in addressing housing</w:t>
      </w:r>
      <w:r w:rsidR="00184418" w:rsidRPr="00552187">
        <w:rPr>
          <w:lang w:eastAsia="en-GB"/>
        </w:rPr>
        <w:t xml:space="preserve"> and</w:t>
      </w:r>
      <w:r w:rsidR="004A6F77" w:rsidRPr="00552187">
        <w:rPr>
          <w:lang w:eastAsia="en-GB"/>
        </w:rPr>
        <w:t xml:space="preserve"> climate </w:t>
      </w:r>
      <w:r w:rsidR="004A6F77" w:rsidRPr="00552187">
        <w:rPr>
          <w:lang w:eastAsia="en-GB"/>
        </w:rPr>
        <w:lastRenderedPageBreak/>
        <w:t xml:space="preserve">needs. </w:t>
      </w:r>
      <w:r w:rsidR="00B47FE3" w:rsidRPr="00552187">
        <w:rPr>
          <w:lang w:eastAsia="en-GB"/>
        </w:rPr>
        <w:t>The potential impact of</w:t>
      </w:r>
      <w:r w:rsidR="00835CA7" w:rsidRPr="00552187">
        <w:rPr>
          <w:lang w:eastAsia="en-GB"/>
        </w:rPr>
        <w:t xml:space="preserve"> such economic conditions on staffing was a concern across sectors, with private sector respondents concerned about </w:t>
      </w:r>
      <w:r w:rsidR="0041317D" w:rsidRPr="00552187">
        <w:rPr>
          <w:lang w:eastAsia="en-GB"/>
        </w:rPr>
        <w:t xml:space="preserve">lay-offs, and public sector respondents about the general level of staffing and impacts on services if </w:t>
      </w:r>
      <w:r w:rsidR="00674AC0" w:rsidRPr="00552187">
        <w:rPr>
          <w:lang w:eastAsia="en-GB"/>
        </w:rPr>
        <w:t>funding were to be squeezed</w:t>
      </w:r>
      <w:r w:rsidR="00627DE6" w:rsidRPr="00552187">
        <w:rPr>
          <w:lang w:eastAsia="en-GB"/>
        </w:rPr>
        <w:t xml:space="preserve"> (further)</w:t>
      </w:r>
      <w:r w:rsidR="0041317D" w:rsidRPr="00552187">
        <w:rPr>
          <w:lang w:eastAsia="en-GB"/>
        </w:rPr>
        <w:t>.</w:t>
      </w:r>
      <w:r w:rsidR="00184418" w:rsidRPr="00552187">
        <w:rPr>
          <w:lang w:eastAsia="en-GB"/>
        </w:rPr>
        <w:t xml:space="preserve"> </w:t>
      </w:r>
      <w:r w:rsidR="00301506" w:rsidRPr="00552187">
        <w:rPr>
          <w:lang w:eastAsia="en-GB"/>
        </w:rPr>
        <w:t>Legislative</w:t>
      </w:r>
      <w:r w:rsidR="0076620C" w:rsidRPr="00552187">
        <w:rPr>
          <w:lang w:eastAsia="en-GB"/>
        </w:rPr>
        <w:t xml:space="preserve"> </w:t>
      </w:r>
      <w:r w:rsidR="00CE0DB3" w:rsidRPr="00552187">
        <w:rPr>
          <w:lang w:eastAsia="en-GB"/>
        </w:rPr>
        <w:t>uncertainty</w:t>
      </w:r>
      <w:r w:rsidR="0076620C" w:rsidRPr="00552187">
        <w:rPr>
          <w:lang w:eastAsia="en-GB"/>
        </w:rPr>
        <w:t xml:space="preserve"> also </w:t>
      </w:r>
      <w:r w:rsidR="009D5B38" w:rsidRPr="00552187">
        <w:rPr>
          <w:lang w:eastAsia="en-GB"/>
        </w:rPr>
        <w:t>featured,</w:t>
      </w:r>
      <w:r w:rsidR="00446D4D" w:rsidRPr="00552187">
        <w:rPr>
          <w:lang w:eastAsia="en-GB"/>
        </w:rPr>
        <w:t xml:space="preserve"> </w:t>
      </w:r>
      <w:r w:rsidR="009D5B38" w:rsidRPr="00552187">
        <w:rPr>
          <w:lang w:eastAsia="en-GB"/>
        </w:rPr>
        <w:t xml:space="preserve">with the challenge of </w:t>
      </w:r>
      <w:r w:rsidR="00AB69AB" w:rsidRPr="00552187">
        <w:rPr>
          <w:lang w:eastAsia="en-GB"/>
        </w:rPr>
        <w:t xml:space="preserve">understanding </w:t>
      </w:r>
      <w:r w:rsidR="00AB5166" w:rsidRPr="00552187">
        <w:rPr>
          <w:lang w:eastAsia="en-GB"/>
        </w:rPr>
        <w:t>legislative change</w:t>
      </w:r>
      <w:r w:rsidR="00257A79" w:rsidRPr="00552187">
        <w:rPr>
          <w:lang w:eastAsia="en-GB"/>
        </w:rPr>
        <w:t xml:space="preserve"> and “assimilating planning reform”</w:t>
      </w:r>
      <w:r w:rsidR="00AB69AB" w:rsidRPr="00552187">
        <w:rPr>
          <w:lang w:eastAsia="en-GB"/>
        </w:rPr>
        <w:t xml:space="preserve"> in</w:t>
      </w:r>
      <w:r w:rsidR="009D5B38" w:rsidRPr="00552187">
        <w:rPr>
          <w:lang w:eastAsia="en-GB"/>
        </w:rPr>
        <w:t>to</w:t>
      </w:r>
      <w:r w:rsidR="00AB69AB" w:rsidRPr="00552187">
        <w:rPr>
          <w:lang w:eastAsia="en-GB"/>
        </w:rPr>
        <w:t xml:space="preserve"> </w:t>
      </w:r>
      <w:r w:rsidR="009D5B38" w:rsidRPr="00552187">
        <w:rPr>
          <w:lang w:eastAsia="en-GB"/>
        </w:rPr>
        <w:t>daily</w:t>
      </w:r>
      <w:r w:rsidR="00AB69AB" w:rsidRPr="00552187">
        <w:rPr>
          <w:lang w:eastAsia="en-GB"/>
        </w:rPr>
        <w:t xml:space="preserve"> practice</w:t>
      </w:r>
      <w:r w:rsidR="009D5B38" w:rsidRPr="00552187">
        <w:rPr>
          <w:lang w:eastAsia="en-GB"/>
        </w:rPr>
        <w:t xml:space="preserve"> noted</w:t>
      </w:r>
      <w:r w:rsidR="00AB69AB" w:rsidRPr="00552187">
        <w:rPr>
          <w:lang w:eastAsia="en-GB"/>
        </w:rPr>
        <w:t>.</w:t>
      </w:r>
      <w:r w:rsidR="00AB5166" w:rsidRPr="00552187">
        <w:rPr>
          <w:lang w:eastAsia="en-GB"/>
        </w:rPr>
        <w:t xml:space="preserve"> </w:t>
      </w:r>
    </w:p>
    <w:p w14:paraId="7A7D2C9E" w14:textId="44C692C3" w:rsidR="001C31B3" w:rsidRDefault="00A86E99" w:rsidP="00A14458">
      <w:pPr>
        <w:spacing w:after="0" w:line="360" w:lineRule="auto"/>
        <w:rPr>
          <w:lang w:eastAsia="en-GB"/>
        </w:rPr>
      </w:pPr>
      <w:r w:rsidRPr="00552187">
        <w:rPr>
          <w:lang w:eastAsia="en-GB"/>
        </w:rPr>
        <w:t xml:space="preserve">Among other challenges cited </w:t>
      </w:r>
      <w:r w:rsidR="00E97728" w:rsidRPr="00552187">
        <w:rPr>
          <w:lang w:eastAsia="en-GB"/>
        </w:rPr>
        <w:t xml:space="preserve">by international members </w:t>
      </w:r>
      <w:r w:rsidRPr="00552187">
        <w:rPr>
          <w:lang w:eastAsia="en-GB"/>
        </w:rPr>
        <w:t xml:space="preserve">were local politics affecting planning, an underfunded public sector, </w:t>
      </w:r>
      <w:r w:rsidR="007553AC" w:rsidRPr="00552187">
        <w:rPr>
          <w:lang w:eastAsia="en-GB"/>
        </w:rPr>
        <w:t xml:space="preserve">the capacity of planners, </w:t>
      </w:r>
      <w:r w:rsidR="008C6355" w:rsidRPr="00552187">
        <w:rPr>
          <w:lang w:eastAsia="en-GB"/>
        </w:rPr>
        <w:t xml:space="preserve">the uncertainty of reform and its effects on building, planners and investors, and public perception </w:t>
      </w:r>
      <w:r w:rsidR="00030A60" w:rsidRPr="00552187">
        <w:rPr>
          <w:lang w:eastAsia="en-GB"/>
        </w:rPr>
        <w:t>of</w:t>
      </w:r>
      <w:r w:rsidR="008C6355" w:rsidRPr="00552187">
        <w:rPr>
          <w:lang w:eastAsia="en-GB"/>
        </w:rPr>
        <w:t xml:space="preserve"> the profession.</w:t>
      </w:r>
    </w:p>
    <w:p w14:paraId="1A04DAC2" w14:textId="77777777" w:rsidR="00A14458" w:rsidRPr="00552187" w:rsidRDefault="00A14458" w:rsidP="00A14458">
      <w:pPr>
        <w:spacing w:after="0" w:line="360" w:lineRule="auto"/>
      </w:pPr>
    </w:p>
    <w:p w14:paraId="439DEC8D" w14:textId="7F8D0D21" w:rsidR="00531D6D" w:rsidRPr="00552187" w:rsidRDefault="00493226" w:rsidP="00531D6D">
      <w:pPr>
        <w:pStyle w:val="Heading2"/>
      </w:pPr>
      <w:r w:rsidRPr="00552187">
        <w:t>Who responded</w:t>
      </w:r>
    </w:p>
    <w:p w14:paraId="1C88BB7C" w14:textId="613D9A08" w:rsidR="00531D6D" w:rsidRPr="00552187" w:rsidRDefault="00A14458" w:rsidP="00531D6D">
      <w:pPr>
        <w:pStyle w:val="Heading3"/>
        <w:spacing w:after="0"/>
        <w:rPr>
          <w:lang w:eastAsia="en-GB"/>
        </w:rPr>
      </w:pPr>
      <w:r w:rsidRPr="00552187">
        <w:rPr>
          <w:noProof/>
        </w:rPr>
        <w:drawing>
          <wp:anchor distT="0" distB="0" distL="114300" distR="114300" simplePos="0" relativeHeight="251675649" behindDoc="0" locked="0" layoutInCell="1" allowOverlap="1" wp14:anchorId="18A3CAE1" wp14:editId="0B8BB7AC">
            <wp:simplePos x="0" y="0"/>
            <wp:positionH relativeFrom="page">
              <wp:posOffset>3608070</wp:posOffset>
            </wp:positionH>
            <wp:positionV relativeFrom="paragraph">
              <wp:posOffset>13970</wp:posOffset>
            </wp:positionV>
            <wp:extent cx="3348355" cy="2392680"/>
            <wp:effectExtent l="0" t="0" r="4445" b="0"/>
            <wp:wrapSquare wrapText="bothSides"/>
            <wp:docPr id="1939558420" name="Picture 2" descr="A graph with numbers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58420" name="Picture 2" descr="A graph with numbers and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5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D6D" w:rsidRPr="00552187">
        <w:rPr>
          <w:lang w:eastAsia="en-GB"/>
        </w:rPr>
        <w:t>Demographics</w:t>
      </w:r>
    </w:p>
    <w:p w14:paraId="7B7D7FFB" w14:textId="50BC4C98" w:rsidR="00531D6D" w:rsidRPr="00552187" w:rsidRDefault="00531D6D" w:rsidP="00A14458">
      <w:pPr>
        <w:spacing w:after="0" w:line="360" w:lineRule="auto"/>
        <w:rPr>
          <w:lang w:eastAsia="en-GB"/>
        </w:rPr>
      </w:pPr>
      <w:r w:rsidRPr="00552187">
        <w:rPr>
          <w:lang w:eastAsia="en-GB"/>
        </w:rPr>
        <w:t>The gender profile of international respondents was skewed noticeably male (64.1%), while 32.5% identified as female, and 3.4% preferred not to disclose. Over a quarter of international respondents reported their age as between 25 and 34 (25.6%) and approaching a fifth were aged between 35 to 44, 45 to 54 and 55 to 64.</w:t>
      </w:r>
    </w:p>
    <w:p w14:paraId="5759F41A" w14:textId="5687800B" w:rsidR="00732499" w:rsidRPr="00552187" w:rsidRDefault="00732499" w:rsidP="00531D6D">
      <w:pPr>
        <w:pStyle w:val="Heading3"/>
        <w:spacing w:after="0"/>
        <w:rPr>
          <w:lang w:eastAsia="en-GB"/>
        </w:rPr>
      </w:pPr>
      <w:r w:rsidRPr="00552187">
        <w:rPr>
          <w:lang w:eastAsia="en-GB"/>
        </w:rPr>
        <w:t>Geography</w:t>
      </w:r>
    </w:p>
    <w:p w14:paraId="3FE06164" w14:textId="595553AA" w:rsidR="00293440" w:rsidRPr="00552187" w:rsidRDefault="00030A60" w:rsidP="00531D6D">
      <w:pPr>
        <w:spacing w:after="0" w:line="360" w:lineRule="auto"/>
        <w:rPr>
          <w:lang w:eastAsia="en-GB"/>
        </w:rPr>
      </w:pPr>
      <w:commentRangeStart w:id="0"/>
      <w:r w:rsidRPr="00552187">
        <w:rPr>
          <w:noProof/>
          <w:lang w:eastAsia="en-GB"/>
        </w:rPr>
        <w:drawing>
          <wp:anchor distT="0" distB="0" distL="114300" distR="114300" simplePos="0" relativeHeight="251673601" behindDoc="0" locked="0" layoutInCell="1" allowOverlap="1" wp14:anchorId="7A86C373" wp14:editId="160E9A9A">
            <wp:simplePos x="0" y="0"/>
            <wp:positionH relativeFrom="page">
              <wp:posOffset>685800</wp:posOffset>
            </wp:positionH>
            <wp:positionV relativeFrom="paragraph">
              <wp:posOffset>507365</wp:posOffset>
            </wp:positionV>
            <wp:extent cx="3981450" cy="2901315"/>
            <wp:effectExtent l="0" t="0" r="0" b="0"/>
            <wp:wrapSquare wrapText="bothSides"/>
            <wp:docPr id="764211436" name="Picture 20" descr="A map of the wor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211436" name="Picture 20" descr="A map of the wor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0"/>
      <w:r w:rsidR="00C060C5">
        <w:rPr>
          <w:rStyle w:val="CommentReference"/>
        </w:rPr>
        <w:commentReference w:id="0"/>
      </w:r>
      <w:r w:rsidR="00D1706A" w:rsidRPr="00552187">
        <w:rPr>
          <w:lang w:eastAsia="en-GB"/>
        </w:rPr>
        <w:t>Of</w:t>
      </w:r>
      <w:r w:rsidR="009A3B16" w:rsidRPr="00552187">
        <w:rPr>
          <w:lang w:eastAsia="en-GB"/>
        </w:rPr>
        <w:t xml:space="preserve"> </w:t>
      </w:r>
      <w:r w:rsidR="00DA138B" w:rsidRPr="00552187">
        <w:rPr>
          <w:lang w:eastAsia="en-GB"/>
        </w:rPr>
        <w:t xml:space="preserve">international </w:t>
      </w:r>
      <w:r w:rsidR="009A3B16" w:rsidRPr="00552187">
        <w:rPr>
          <w:lang w:eastAsia="en-GB"/>
        </w:rPr>
        <w:t>respondents to the State of the Profession member survey, the highest proportion</w:t>
      </w:r>
      <w:r w:rsidR="00FE259E" w:rsidRPr="00552187">
        <w:rPr>
          <w:lang w:eastAsia="en-GB"/>
        </w:rPr>
        <w:t xml:space="preserve"> (42.7%)</w:t>
      </w:r>
      <w:r w:rsidR="009A3B16" w:rsidRPr="00552187">
        <w:rPr>
          <w:lang w:eastAsia="en-GB"/>
        </w:rPr>
        <w:t xml:space="preserve"> </w:t>
      </w:r>
      <w:r w:rsidR="00C32000" w:rsidRPr="00552187">
        <w:rPr>
          <w:lang w:eastAsia="en-GB"/>
        </w:rPr>
        <w:t>worked</w:t>
      </w:r>
      <w:r w:rsidR="009A3B16" w:rsidRPr="00552187">
        <w:rPr>
          <w:lang w:eastAsia="en-GB"/>
        </w:rPr>
        <w:t xml:space="preserve"> in </w:t>
      </w:r>
      <w:r w:rsidR="00681480" w:rsidRPr="00552187">
        <w:rPr>
          <w:lang w:eastAsia="en-GB"/>
        </w:rPr>
        <w:t>the East Asia and Pacific region</w:t>
      </w:r>
      <w:r w:rsidR="00DC5C81" w:rsidRPr="00552187">
        <w:rPr>
          <w:lang w:eastAsia="en-GB"/>
        </w:rPr>
        <w:t>. Most of these respondents reported Hong Kong, Australia or New Zealand as</w:t>
      </w:r>
      <w:r w:rsidR="00D34ED2" w:rsidRPr="00552187">
        <w:rPr>
          <w:lang w:eastAsia="en-GB"/>
        </w:rPr>
        <w:t xml:space="preserve"> their home country.</w:t>
      </w:r>
      <w:r w:rsidR="00E26E04" w:rsidRPr="00552187">
        <w:rPr>
          <w:lang w:eastAsia="en-GB"/>
        </w:rPr>
        <w:t xml:space="preserve"> The next best represented global regions among international respondents were the Middle east and North Africa (13.7%)</w:t>
      </w:r>
      <w:r w:rsidR="003779E5" w:rsidRPr="00552187">
        <w:rPr>
          <w:lang w:eastAsia="en-GB"/>
        </w:rPr>
        <w:t>, Sub-Saharan Africa (12.8%), Europe and Central Asia (11.1%)</w:t>
      </w:r>
      <w:r w:rsidR="00614DAC" w:rsidRPr="00552187">
        <w:rPr>
          <w:lang w:eastAsia="en-GB"/>
        </w:rPr>
        <w:t>, and North America (10.3%)</w:t>
      </w:r>
      <w:r w:rsidR="003779E5" w:rsidRPr="00552187">
        <w:rPr>
          <w:lang w:eastAsia="en-GB"/>
        </w:rPr>
        <w:t>.</w:t>
      </w:r>
      <w:r w:rsidR="00614DAC" w:rsidRPr="00552187">
        <w:rPr>
          <w:lang w:eastAsia="en-GB"/>
        </w:rPr>
        <w:t xml:space="preserve"> </w:t>
      </w:r>
      <w:r w:rsidR="00CF73F1" w:rsidRPr="00552187">
        <w:rPr>
          <w:lang w:eastAsia="en-GB"/>
        </w:rPr>
        <w:t xml:space="preserve">South Asia (5.1%) and Latin America and </w:t>
      </w:r>
      <w:r w:rsidR="00CF73F1" w:rsidRPr="00552187">
        <w:rPr>
          <w:lang w:eastAsia="en-GB"/>
        </w:rPr>
        <w:lastRenderedPageBreak/>
        <w:t>the Caribbean (</w:t>
      </w:r>
      <w:r w:rsidR="006947B1" w:rsidRPr="00552187">
        <w:rPr>
          <w:lang w:eastAsia="en-GB"/>
        </w:rPr>
        <w:t>4.3%) accounted for the smallest proportions of respondents.</w:t>
      </w:r>
    </w:p>
    <w:p w14:paraId="4BAE7ABF" w14:textId="696E3274" w:rsidR="00EC264D" w:rsidRPr="00552187" w:rsidRDefault="00EC264D" w:rsidP="00531D6D">
      <w:pPr>
        <w:spacing w:after="0" w:line="360" w:lineRule="auto"/>
        <w:rPr>
          <w:lang w:eastAsia="en-GB"/>
        </w:rPr>
      </w:pPr>
      <w:r w:rsidRPr="00552187">
        <w:rPr>
          <w:lang w:eastAsia="en-GB"/>
        </w:rPr>
        <w:t>Of international respondents, 47% worked in the private sector, while 38.5% worked in the public sector</w:t>
      </w:r>
      <w:r w:rsidR="00896EDA" w:rsidRPr="00552187">
        <w:rPr>
          <w:lang w:eastAsia="en-GB"/>
        </w:rPr>
        <w:t xml:space="preserve">. Those </w:t>
      </w:r>
      <w:r w:rsidR="007809FB" w:rsidRPr="00552187">
        <w:rPr>
          <w:lang w:eastAsia="en-GB"/>
        </w:rPr>
        <w:t xml:space="preserve">who selected </w:t>
      </w:r>
      <w:r w:rsidR="00896EDA" w:rsidRPr="00552187">
        <w:rPr>
          <w:lang w:eastAsia="en-GB"/>
        </w:rPr>
        <w:t>‘other’ sectors (a mixture, freelance</w:t>
      </w:r>
      <w:r w:rsidR="007A1925" w:rsidRPr="00552187">
        <w:rPr>
          <w:lang w:eastAsia="en-GB"/>
        </w:rPr>
        <w:t xml:space="preserve">, </w:t>
      </w:r>
      <w:r w:rsidR="00896EDA" w:rsidRPr="00552187">
        <w:rPr>
          <w:lang w:eastAsia="en-GB"/>
        </w:rPr>
        <w:t>on a career break</w:t>
      </w:r>
      <w:r w:rsidR="007A1925" w:rsidRPr="00552187">
        <w:rPr>
          <w:lang w:eastAsia="en-GB"/>
        </w:rPr>
        <w:t>, currently unemployed</w:t>
      </w:r>
      <w:r w:rsidR="007809FB" w:rsidRPr="00552187">
        <w:rPr>
          <w:lang w:eastAsia="en-GB"/>
        </w:rPr>
        <w:t>, or other) accounted for 13.7% of respondents, while the remainder worked in the third sector.</w:t>
      </w:r>
    </w:p>
    <w:p w14:paraId="63875BA7" w14:textId="43926BAD" w:rsidR="00EB3779" w:rsidRPr="00EB3779" w:rsidRDefault="00552187" w:rsidP="00EB3779">
      <w:pPr>
        <w:spacing w:after="0" w:line="360" w:lineRule="auto"/>
      </w:pPr>
      <w:r w:rsidRPr="00552187">
        <w:rPr>
          <w:noProof/>
        </w:rPr>
        <w:drawing>
          <wp:anchor distT="0" distB="0" distL="114300" distR="114300" simplePos="0" relativeHeight="251676673" behindDoc="1" locked="0" layoutInCell="1" allowOverlap="1" wp14:anchorId="7DCE0449" wp14:editId="670C1408">
            <wp:simplePos x="0" y="0"/>
            <wp:positionH relativeFrom="page">
              <wp:align>center</wp:align>
            </wp:positionH>
            <wp:positionV relativeFrom="paragraph">
              <wp:posOffset>11430</wp:posOffset>
            </wp:positionV>
            <wp:extent cx="3658870" cy="2526030"/>
            <wp:effectExtent l="0" t="0" r="0" b="0"/>
            <wp:wrapSquare wrapText="bothSides"/>
            <wp:docPr id="955704054" name="Picture 4" descr="A blue pie char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04054" name="Picture 4" descr="A blue pie chart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57060" w14:textId="17A36CF7" w:rsidR="00A54C2F" w:rsidRPr="008C78EB" w:rsidRDefault="00A54C2F" w:rsidP="00531D6D">
      <w:pPr>
        <w:spacing w:after="0" w:line="360" w:lineRule="auto"/>
      </w:pPr>
    </w:p>
    <w:sectPr w:rsidR="00A54C2F" w:rsidRPr="008C78EB" w:rsidSect="00CA1EB6">
      <w:footerReference w:type="even" r:id="rId24"/>
      <w:footerReference w:type="default" r:id="rId25"/>
      <w:footerReference w:type="first" r:id="rId26"/>
      <w:pgSz w:w="11900" w:h="16820" w:code="9"/>
      <w:pgMar w:top="1134" w:right="1134" w:bottom="1701" w:left="1701" w:header="1134" w:footer="45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livia Gibson" w:date="2026-01-30T15:25:00Z" w:initials="OG">
    <w:p w14:paraId="2EA859E6" w14:textId="77777777" w:rsidR="00C060C5" w:rsidRDefault="00C060C5" w:rsidP="00C060C5">
      <w:pPr>
        <w:pStyle w:val="CommentText"/>
      </w:pPr>
      <w:r>
        <w:rPr>
          <w:rStyle w:val="CommentReference"/>
        </w:rPr>
        <w:annotationRef/>
      </w:r>
      <w:r>
        <w:t>Although the world map looks nice, it’s not very informative about the proportions of respondents in different regions because a few regions have similar percentages (see in text). I’m considering swapping this out for a table - interested in your thoughts!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A859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380563" w16cex:dateUtc="2026-01-30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A859E6" w16cid:durableId="213805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065E" w14:textId="77777777" w:rsidR="001C6C7C" w:rsidRDefault="001C6C7C" w:rsidP="00386987">
      <w:r>
        <w:separator/>
      </w:r>
    </w:p>
  </w:endnote>
  <w:endnote w:type="continuationSeparator" w:id="0">
    <w:p w14:paraId="64212677" w14:textId="77777777" w:rsidR="001C6C7C" w:rsidRDefault="001C6C7C" w:rsidP="00386987">
      <w:r>
        <w:continuationSeparator/>
      </w:r>
    </w:p>
  </w:endnote>
  <w:endnote w:type="continuationNotice" w:id="1">
    <w:p w14:paraId="7507646A" w14:textId="77777777" w:rsidR="001C6C7C" w:rsidRDefault="001C6C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70391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AD6A73" w14:textId="77777777" w:rsidR="00372A65" w:rsidRDefault="00372A65" w:rsidP="00B026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D97899" w14:textId="77777777" w:rsidR="00372A65" w:rsidRDefault="00372A65" w:rsidP="00372A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FF31" w14:textId="77777777" w:rsidR="00CD6663" w:rsidRDefault="00CD6663" w:rsidP="00372A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30D4" w14:textId="77777777" w:rsidR="00CA1EB6" w:rsidRDefault="00CA1EB6">
    <w:pPr>
      <w:pStyle w:val="Footer"/>
    </w:pPr>
  </w:p>
  <w:p w14:paraId="4726F7C7" w14:textId="77777777" w:rsidR="00BF48A9" w:rsidRDefault="00BF48A9" w:rsidP="009313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A4AE" w14:textId="77777777" w:rsidR="001C6C7C" w:rsidRDefault="001C6C7C" w:rsidP="00386987">
      <w:r>
        <w:separator/>
      </w:r>
    </w:p>
  </w:footnote>
  <w:footnote w:type="continuationSeparator" w:id="0">
    <w:p w14:paraId="100F4306" w14:textId="77777777" w:rsidR="001C6C7C" w:rsidRDefault="001C6C7C" w:rsidP="00386987">
      <w:r>
        <w:continuationSeparator/>
      </w:r>
    </w:p>
  </w:footnote>
  <w:footnote w:type="continuationNotice" w:id="1">
    <w:p w14:paraId="50C67422" w14:textId="77777777" w:rsidR="001C6C7C" w:rsidRDefault="001C6C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C91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06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E86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829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12C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902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3E9C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D0D04E"/>
    <w:lvl w:ilvl="0">
      <w:start w:val="1"/>
      <w:numFmt w:val="bullet"/>
      <w:pStyle w:val="ListBullet2"/>
      <w:lvlText w:val=""/>
      <w:lvlJc w:val="left"/>
      <w:pPr>
        <w:ind w:left="1135" w:firstLine="0"/>
      </w:pPr>
      <w:rPr>
        <w:rFonts w:ascii="Symbol" w:hAnsi="Symbol" w:cs="Times New Roman" w:hint="default"/>
        <w:b w:val="0"/>
        <w:i w:val="0"/>
        <w:color w:val="000000"/>
        <w:sz w:val="24"/>
      </w:rPr>
    </w:lvl>
  </w:abstractNum>
  <w:abstractNum w:abstractNumId="8" w15:restartNumberingAfterBreak="0">
    <w:nsid w:val="FFFFFF88"/>
    <w:multiLevelType w:val="singleLevel"/>
    <w:tmpl w:val="8FB6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D42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04394"/>
    <w:multiLevelType w:val="hybridMultilevel"/>
    <w:tmpl w:val="85FE0078"/>
    <w:lvl w:ilvl="0" w:tplc="B1082106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279D2"/>
    <w:multiLevelType w:val="hybridMultilevel"/>
    <w:tmpl w:val="B19C617E"/>
    <w:lvl w:ilvl="0" w:tplc="AA9E24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85C49"/>
    <w:multiLevelType w:val="multilevel"/>
    <w:tmpl w:val="936E5D7A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E63" w:themeColor="text1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04B2D"/>
    <w:multiLevelType w:val="multilevel"/>
    <w:tmpl w:val="88FE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EA022D"/>
    <w:multiLevelType w:val="multilevel"/>
    <w:tmpl w:val="55B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A6C6A"/>
    <w:multiLevelType w:val="multilevel"/>
    <w:tmpl w:val="2AD47320"/>
    <w:styleLink w:val="CurrentList7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37859"/>
    <w:multiLevelType w:val="multilevel"/>
    <w:tmpl w:val="2764A788"/>
    <w:styleLink w:val="CurrentList8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478B9"/>
    <w:multiLevelType w:val="hybridMultilevel"/>
    <w:tmpl w:val="9ACE5484"/>
    <w:lvl w:ilvl="0" w:tplc="20282AFE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E195F"/>
    <w:multiLevelType w:val="multilevel"/>
    <w:tmpl w:val="130CFE44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2E63" w:themeColor="text1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DA58AD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5A167B4"/>
    <w:multiLevelType w:val="multilevel"/>
    <w:tmpl w:val="207451A8"/>
    <w:styleLink w:val="CurrentList6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900AB"/>
    <w:multiLevelType w:val="hybridMultilevel"/>
    <w:tmpl w:val="1362EBF2"/>
    <w:lvl w:ilvl="0" w:tplc="4B74F5F6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0558C"/>
    <w:multiLevelType w:val="hybridMultilevel"/>
    <w:tmpl w:val="E8A21BB2"/>
    <w:lvl w:ilvl="0" w:tplc="058645B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1475E3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FA6DBA"/>
    <w:multiLevelType w:val="multilevel"/>
    <w:tmpl w:val="A1688C9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12BF8"/>
    <w:multiLevelType w:val="multilevel"/>
    <w:tmpl w:val="0CE89F04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573AA"/>
    <w:multiLevelType w:val="hybridMultilevel"/>
    <w:tmpl w:val="373A23D8"/>
    <w:lvl w:ilvl="0" w:tplc="360E4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8285C"/>
    <w:multiLevelType w:val="multilevel"/>
    <w:tmpl w:val="188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4C04D7"/>
    <w:multiLevelType w:val="hybridMultilevel"/>
    <w:tmpl w:val="0776B4D8"/>
    <w:lvl w:ilvl="0" w:tplc="0F2C8476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10333">
    <w:abstractNumId w:val="28"/>
  </w:num>
  <w:num w:numId="2" w16cid:durableId="870530158">
    <w:abstractNumId w:val="9"/>
  </w:num>
  <w:num w:numId="3" w16cid:durableId="1199243742">
    <w:abstractNumId w:val="7"/>
  </w:num>
  <w:num w:numId="4" w16cid:durableId="205875567">
    <w:abstractNumId w:val="6"/>
  </w:num>
  <w:num w:numId="5" w16cid:durableId="736823573">
    <w:abstractNumId w:val="5"/>
  </w:num>
  <w:num w:numId="6" w16cid:durableId="1384477764">
    <w:abstractNumId w:val="4"/>
  </w:num>
  <w:num w:numId="7" w16cid:durableId="1878274909">
    <w:abstractNumId w:val="8"/>
  </w:num>
  <w:num w:numId="8" w16cid:durableId="100104898">
    <w:abstractNumId w:val="3"/>
  </w:num>
  <w:num w:numId="9" w16cid:durableId="1793749201">
    <w:abstractNumId w:val="2"/>
  </w:num>
  <w:num w:numId="10" w16cid:durableId="1539705207">
    <w:abstractNumId w:val="1"/>
  </w:num>
  <w:num w:numId="11" w16cid:durableId="735593229">
    <w:abstractNumId w:val="0"/>
  </w:num>
  <w:num w:numId="12" w16cid:durableId="968045724">
    <w:abstractNumId w:val="24"/>
  </w:num>
  <w:num w:numId="13" w16cid:durableId="2052918540">
    <w:abstractNumId w:val="25"/>
  </w:num>
  <w:num w:numId="14" w16cid:durableId="352076872">
    <w:abstractNumId w:val="12"/>
  </w:num>
  <w:num w:numId="15" w16cid:durableId="1316689252">
    <w:abstractNumId w:val="21"/>
  </w:num>
  <w:num w:numId="16" w16cid:durableId="256181018">
    <w:abstractNumId w:val="18"/>
  </w:num>
  <w:num w:numId="17" w16cid:durableId="1654215730">
    <w:abstractNumId w:val="19"/>
  </w:num>
  <w:num w:numId="18" w16cid:durableId="1131049134">
    <w:abstractNumId w:val="20"/>
  </w:num>
  <w:num w:numId="19" w16cid:durableId="1273585651">
    <w:abstractNumId w:val="17"/>
  </w:num>
  <w:num w:numId="20" w16cid:durableId="1617448411">
    <w:abstractNumId w:val="15"/>
  </w:num>
  <w:num w:numId="21" w16cid:durableId="318310763">
    <w:abstractNumId w:val="10"/>
  </w:num>
  <w:num w:numId="22" w16cid:durableId="922756933">
    <w:abstractNumId w:val="16"/>
  </w:num>
  <w:num w:numId="23" w16cid:durableId="484519203">
    <w:abstractNumId w:val="23"/>
  </w:num>
  <w:num w:numId="24" w16cid:durableId="109354627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401565800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31958441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393086460">
    <w:abstractNumId w:val="11"/>
  </w:num>
  <w:num w:numId="28" w16cid:durableId="1311667745">
    <w:abstractNumId w:val="26"/>
  </w:num>
  <w:num w:numId="29" w16cid:durableId="127848327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ivia Gibson">
    <w15:presenceInfo w15:providerId="AD" w15:userId="S::olivia.gibson@rtpi.org.uk::a5df3bd8-269b-4b9e-8bd7-15c9ae1cc4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45"/>
    <w:rsid w:val="000018FE"/>
    <w:rsid w:val="00002B00"/>
    <w:rsid w:val="00005ECF"/>
    <w:rsid w:val="00011C08"/>
    <w:rsid w:val="00011EFF"/>
    <w:rsid w:val="000126BB"/>
    <w:rsid w:val="00016F0D"/>
    <w:rsid w:val="00022FB4"/>
    <w:rsid w:val="00030A60"/>
    <w:rsid w:val="00045881"/>
    <w:rsid w:val="000461AE"/>
    <w:rsid w:val="0004703C"/>
    <w:rsid w:val="0005093D"/>
    <w:rsid w:val="00052BA0"/>
    <w:rsid w:val="00052C6B"/>
    <w:rsid w:val="00060673"/>
    <w:rsid w:val="000629C6"/>
    <w:rsid w:val="00062D98"/>
    <w:rsid w:val="00063F9E"/>
    <w:rsid w:val="00066F49"/>
    <w:rsid w:val="00072F3F"/>
    <w:rsid w:val="000804D7"/>
    <w:rsid w:val="00081657"/>
    <w:rsid w:val="000871F3"/>
    <w:rsid w:val="000909F2"/>
    <w:rsid w:val="00091522"/>
    <w:rsid w:val="00093368"/>
    <w:rsid w:val="00095A59"/>
    <w:rsid w:val="000A0007"/>
    <w:rsid w:val="000C3710"/>
    <w:rsid w:val="000D0E1A"/>
    <w:rsid w:val="000D33A7"/>
    <w:rsid w:val="000D40B6"/>
    <w:rsid w:val="000E0030"/>
    <w:rsid w:val="000E4A24"/>
    <w:rsid w:val="000F4E93"/>
    <w:rsid w:val="000F5388"/>
    <w:rsid w:val="000F5529"/>
    <w:rsid w:val="00106AFC"/>
    <w:rsid w:val="00107D9E"/>
    <w:rsid w:val="0011393B"/>
    <w:rsid w:val="001200C8"/>
    <w:rsid w:val="00123A92"/>
    <w:rsid w:val="001257ED"/>
    <w:rsid w:val="00131B09"/>
    <w:rsid w:val="00134B0A"/>
    <w:rsid w:val="00140AC7"/>
    <w:rsid w:val="00147AF3"/>
    <w:rsid w:val="001503FA"/>
    <w:rsid w:val="00153828"/>
    <w:rsid w:val="00155631"/>
    <w:rsid w:val="0015757E"/>
    <w:rsid w:val="00174BC0"/>
    <w:rsid w:val="00175B08"/>
    <w:rsid w:val="001773A2"/>
    <w:rsid w:val="00182603"/>
    <w:rsid w:val="00184418"/>
    <w:rsid w:val="00185060"/>
    <w:rsid w:val="00193655"/>
    <w:rsid w:val="00194061"/>
    <w:rsid w:val="00196CA0"/>
    <w:rsid w:val="001B4245"/>
    <w:rsid w:val="001B46AE"/>
    <w:rsid w:val="001B480C"/>
    <w:rsid w:val="001C31B3"/>
    <w:rsid w:val="001C502F"/>
    <w:rsid w:val="001C6C7C"/>
    <w:rsid w:val="001D058A"/>
    <w:rsid w:val="001D530C"/>
    <w:rsid w:val="001E0C4B"/>
    <w:rsid w:val="001E7030"/>
    <w:rsid w:val="001F3948"/>
    <w:rsid w:val="0020755E"/>
    <w:rsid w:val="00211E2E"/>
    <w:rsid w:val="00213C32"/>
    <w:rsid w:val="0023239C"/>
    <w:rsid w:val="00240104"/>
    <w:rsid w:val="0024214C"/>
    <w:rsid w:val="00245BFA"/>
    <w:rsid w:val="00246E1A"/>
    <w:rsid w:val="00251343"/>
    <w:rsid w:val="00253A4B"/>
    <w:rsid w:val="002552DB"/>
    <w:rsid w:val="002560F1"/>
    <w:rsid w:val="00256B8B"/>
    <w:rsid w:val="00257A79"/>
    <w:rsid w:val="002611CE"/>
    <w:rsid w:val="00262BE9"/>
    <w:rsid w:val="00264C61"/>
    <w:rsid w:val="00280469"/>
    <w:rsid w:val="002922E2"/>
    <w:rsid w:val="00293440"/>
    <w:rsid w:val="00293868"/>
    <w:rsid w:val="00297CCA"/>
    <w:rsid w:val="002A1BDE"/>
    <w:rsid w:val="002A5B8F"/>
    <w:rsid w:val="002A75AE"/>
    <w:rsid w:val="002C0277"/>
    <w:rsid w:val="002C3CF1"/>
    <w:rsid w:val="002D1C31"/>
    <w:rsid w:val="002D4689"/>
    <w:rsid w:val="002D5E53"/>
    <w:rsid w:val="002E1C10"/>
    <w:rsid w:val="002F0156"/>
    <w:rsid w:val="002F44DC"/>
    <w:rsid w:val="00301506"/>
    <w:rsid w:val="00304E25"/>
    <w:rsid w:val="003073EA"/>
    <w:rsid w:val="00310FC0"/>
    <w:rsid w:val="00312B18"/>
    <w:rsid w:val="00320E9C"/>
    <w:rsid w:val="0032679D"/>
    <w:rsid w:val="00327A42"/>
    <w:rsid w:val="00327AB7"/>
    <w:rsid w:val="00334A2F"/>
    <w:rsid w:val="00334BF8"/>
    <w:rsid w:val="0034222F"/>
    <w:rsid w:val="0034235F"/>
    <w:rsid w:val="00346095"/>
    <w:rsid w:val="00356558"/>
    <w:rsid w:val="00364BB9"/>
    <w:rsid w:val="00372501"/>
    <w:rsid w:val="00372A65"/>
    <w:rsid w:val="003779E5"/>
    <w:rsid w:val="00386987"/>
    <w:rsid w:val="00390BF5"/>
    <w:rsid w:val="00392AFD"/>
    <w:rsid w:val="00394E8F"/>
    <w:rsid w:val="003A2357"/>
    <w:rsid w:val="003A3B1A"/>
    <w:rsid w:val="003A4420"/>
    <w:rsid w:val="003B67F9"/>
    <w:rsid w:val="003B7701"/>
    <w:rsid w:val="003C3692"/>
    <w:rsid w:val="003C4CA7"/>
    <w:rsid w:val="003C773B"/>
    <w:rsid w:val="003D17F2"/>
    <w:rsid w:val="003D48DA"/>
    <w:rsid w:val="003D5D89"/>
    <w:rsid w:val="003D6121"/>
    <w:rsid w:val="003F0BD3"/>
    <w:rsid w:val="003F37B2"/>
    <w:rsid w:val="003F49FF"/>
    <w:rsid w:val="003F6D61"/>
    <w:rsid w:val="00406283"/>
    <w:rsid w:val="004074B9"/>
    <w:rsid w:val="00412882"/>
    <w:rsid w:val="0041317D"/>
    <w:rsid w:val="00413DEF"/>
    <w:rsid w:val="00415EB7"/>
    <w:rsid w:val="00416DD7"/>
    <w:rsid w:val="00422F77"/>
    <w:rsid w:val="0043188F"/>
    <w:rsid w:val="004373CF"/>
    <w:rsid w:val="00437E0C"/>
    <w:rsid w:val="00437FB9"/>
    <w:rsid w:val="00441311"/>
    <w:rsid w:val="00446D4D"/>
    <w:rsid w:val="004534F3"/>
    <w:rsid w:val="00465ADB"/>
    <w:rsid w:val="00466451"/>
    <w:rsid w:val="00467F2A"/>
    <w:rsid w:val="0047320E"/>
    <w:rsid w:val="00487C12"/>
    <w:rsid w:val="00490C6E"/>
    <w:rsid w:val="00491DE6"/>
    <w:rsid w:val="00493226"/>
    <w:rsid w:val="00495893"/>
    <w:rsid w:val="0049594E"/>
    <w:rsid w:val="004A272E"/>
    <w:rsid w:val="004A6F77"/>
    <w:rsid w:val="004C3528"/>
    <w:rsid w:val="004C4817"/>
    <w:rsid w:val="004D1374"/>
    <w:rsid w:val="004D4478"/>
    <w:rsid w:val="004D77C7"/>
    <w:rsid w:val="004E78ED"/>
    <w:rsid w:val="004F0266"/>
    <w:rsid w:val="004F5F1B"/>
    <w:rsid w:val="00503ADE"/>
    <w:rsid w:val="00514C37"/>
    <w:rsid w:val="00522E52"/>
    <w:rsid w:val="005275D7"/>
    <w:rsid w:val="00531D6D"/>
    <w:rsid w:val="00543EF0"/>
    <w:rsid w:val="00545266"/>
    <w:rsid w:val="00552187"/>
    <w:rsid w:val="00562A14"/>
    <w:rsid w:val="005633FE"/>
    <w:rsid w:val="0058240E"/>
    <w:rsid w:val="00582DF8"/>
    <w:rsid w:val="00583501"/>
    <w:rsid w:val="00585196"/>
    <w:rsid w:val="0059358D"/>
    <w:rsid w:val="0059795C"/>
    <w:rsid w:val="005A23E2"/>
    <w:rsid w:val="005A7A15"/>
    <w:rsid w:val="005B3069"/>
    <w:rsid w:val="005B3FD9"/>
    <w:rsid w:val="005B60A2"/>
    <w:rsid w:val="005C45B2"/>
    <w:rsid w:val="005C714F"/>
    <w:rsid w:val="005C7E86"/>
    <w:rsid w:val="005D1130"/>
    <w:rsid w:val="005D7BAE"/>
    <w:rsid w:val="005E06E7"/>
    <w:rsid w:val="005E1CBD"/>
    <w:rsid w:val="005E48B7"/>
    <w:rsid w:val="005E48E4"/>
    <w:rsid w:val="005E49D4"/>
    <w:rsid w:val="005E5B74"/>
    <w:rsid w:val="00607175"/>
    <w:rsid w:val="00613E85"/>
    <w:rsid w:val="00613F5F"/>
    <w:rsid w:val="006141DB"/>
    <w:rsid w:val="00614DAC"/>
    <w:rsid w:val="00623BFA"/>
    <w:rsid w:val="00627DE6"/>
    <w:rsid w:val="00651965"/>
    <w:rsid w:val="0065378C"/>
    <w:rsid w:val="00660CC4"/>
    <w:rsid w:val="00664EC3"/>
    <w:rsid w:val="00671B9A"/>
    <w:rsid w:val="00674AC0"/>
    <w:rsid w:val="00681480"/>
    <w:rsid w:val="006947B1"/>
    <w:rsid w:val="00695B69"/>
    <w:rsid w:val="006A3FAD"/>
    <w:rsid w:val="006A67EE"/>
    <w:rsid w:val="006A6E37"/>
    <w:rsid w:val="006A6FFC"/>
    <w:rsid w:val="006B0CB2"/>
    <w:rsid w:val="006B2F90"/>
    <w:rsid w:val="006B5375"/>
    <w:rsid w:val="006C57CA"/>
    <w:rsid w:val="006D5C89"/>
    <w:rsid w:val="006F0356"/>
    <w:rsid w:val="006F19B4"/>
    <w:rsid w:val="006F5E9A"/>
    <w:rsid w:val="006F750B"/>
    <w:rsid w:val="00701D61"/>
    <w:rsid w:val="00701F34"/>
    <w:rsid w:val="00704365"/>
    <w:rsid w:val="00707E5F"/>
    <w:rsid w:val="00711CB2"/>
    <w:rsid w:val="00714207"/>
    <w:rsid w:val="0072254D"/>
    <w:rsid w:val="0072347A"/>
    <w:rsid w:val="00731257"/>
    <w:rsid w:val="00732499"/>
    <w:rsid w:val="00736949"/>
    <w:rsid w:val="0074576E"/>
    <w:rsid w:val="00747DCB"/>
    <w:rsid w:val="00751AF9"/>
    <w:rsid w:val="00754007"/>
    <w:rsid w:val="007553AC"/>
    <w:rsid w:val="007622D3"/>
    <w:rsid w:val="0076620C"/>
    <w:rsid w:val="00767574"/>
    <w:rsid w:val="007774B4"/>
    <w:rsid w:val="007809FB"/>
    <w:rsid w:val="0078294D"/>
    <w:rsid w:val="007832D1"/>
    <w:rsid w:val="00786B9F"/>
    <w:rsid w:val="007940E1"/>
    <w:rsid w:val="007960F6"/>
    <w:rsid w:val="007A0022"/>
    <w:rsid w:val="007A1925"/>
    <w:rsid w:val="007A5A83"/>
    <w:rsid w:val="007B146C"/>
    <w:rsid w:val="007B46BE"/>
    <w:rsid w:val="007C5DF9"/>
    <w:rsid w:val="007D2304"/>
    <w:rsid w:val="007D6122"/>
    <w:rsid w:val="007E2E02"/>
    <w:rsid w:val="007E6BBD"/>
    <w:rsid w:val="007E7B11"/>
    <w:rsid w:val="007F0E00"/>
    <w:rsid w:val="007F267A"/>
    <w:rsid w:val="007F71E2"/>
    <w:rsid w:val="007F7850"/>
    <w:rsid w:val="00804295"/>
    <w:rsid w:val="00805B15"/>
    <w:rsid w:val="008128C8"/>
    <w:rsid w:val="00815809"/>
    <w:rsid w:val="00817226"/>
    <w:rsid w:val="008221CE"/>
    <w:rsid w:val="008264F2"/>
    <w:rsid w:val="00830757"/>
    <w:rsid w:val="00835CA7"/>
    <w:rsid w:val="00836B07"/>
    <w:rsid w:val="00842156"/>
    <w:rsid w:val="00843830"/>
    <w:rsid w:val="00844E13"/>
    <w:rsid w:val="00845737"/>
    <w:rsid w:val="008502E3"/>
    <w:rsid w:val="008518BB"/>
    <w:rsid w:val="00854883"/>
    <w:rsid w:val="00855616"/>
    <w:rsid w:val="00856568"/>
    <w:rsid w:val="00861FEB"/>
    <w:rsid w:val="00864114"/>
    <w:rsid w:val="0086531D"/>
    <w:rsid w:val="00870B89"/>
    <w:rsid w:val="008810AF"/>
    <w:rsid w:val="00881794"/>
    <w:rsid w:val="008817FC"/>
    <w:rsid w:val="008854D4"/>
    <w:rsid w:val="00894AFC"/>
    <w:rsid w:val="00896EDA"/>
    <w:rsid w:val="00897AE5"/>
    <w:rsid w:val="008A16A8"/>
    <w:rsid w:val="008A3C22"/>
    <w:rsid w:val="008A45D0"/>
    <w:rsid w:val="008A7C0C"/>
    <w:rsid w:val="008C51CA"/>
    <w:rsid w:val="008C6355"/>
    <w:rsid w:val="008C78EB"/>
    <w:rsid w:val="008C7D20"/>
    <w:rsid w:val="008D48BC"/>
    <w:rsid w:val="008D51D8"/>
    <w:rsid w:val="008E0243"/>
    <w:rsid w:val="008E0796"/>
    <w:rsid w:val="008E1A4E"/>
    <w:rsid w:val="008E6B6C"/>
    <w:rsid w:val="008F6909"/>
    <w:rsid w:val="008F6A83"/>
    <w:rsid w:val="00902DE5"/>
    <w:rsid w:val="009136E1"/>
    <w:rsid w:val="00921168"/>
    <w:rsid w:val="009300F4"/>
    <w:rsid w:val="0093106A"/>
    <w:rsid w:val="00931302"/>
    <w:rsid w:val="00935AF7"/>
    <w:rsid w:val="0094372A"/>
    <w:rsid w:val="00955FEB"/>
    <w:rsid w:val="00956367"/>
    <w:rsid w:val="00957772"/>
    <w:rsid w:val="00957FC9"/>
    <w:rsid w:val="00967A40"/>
    <w:rsid w:val="00967DA2"/>
    <w:rsid w:val="0097201A"/>
    <w:rsid w:val="00972683"/>
    <w:rsid w:val="009839AF"/>
    <w:rsid w:val="009849F1"/>
    <w:rsid w:val="009857DB"/>
    <w:rsid w:val="0099310C"/>
    <w:rsid w:val="00994FDB"/>
    <w:rsid w:val="009A3ACE"/>
    <w:rsid w:val="009A3B01"/>
    <w:rsid w:val="009A3B16"/>
    <w:rsid w:val="009A3BB3"/>
    <w:rsid w:val="009B129D"/>
    <w:rsid w:val="009C7397"/>
    <w:rsid w:val="009C760B"/>
    <w:rsid w:val="009D32E4"/>
    <w:rsid w:val="009D5B38"/>
    <w:rsid w:val="009E731C"/>
    <w:rsid w:val="009F48BD"/>
    <w:rsid w:val="00A14458"/>
    <w:rsid w:val="00A176C8"/>
    <w:rsid w:val="00A23C7C"/>
    <w:rsid w:val="00A272DA"/>
    <w:rsid w:val="00A27460"/>
    <w:rsid w:val="00A27EA2"/>
    <w:rsid w:val="00A41618"/>
    <w:rsid w:val="00A5234F"/>
    <w:rsid w:val="00A54C2F"/>
    <w:rsid w:val="00A62DCB"/>
    <w:rsid w:val="00A642DA"/>
    <w:rsid w:val="00A737C0"/>
    <w:rsid w:val="00A86E99"/>
    <w:rsid w:val="00A87363"/>
    <w:rsid w:val="00A94D4A"/>
    <w:rsid w:val="00A95EBD"/>
    <w:rsid w:val="00A97784"/>
    <w:rsid w:val="00A97827"/>
    <w:rsid w:val="00A97AA7"/>
    <w:rsid w:val="00AA1691"/>
    <w:rsid w:val="00AB2BC4"/>
    <w:rsid w:val="00AB3B0B"/>
    <w:rsid w:val="00AB3E7D"/>
    <w:rsid w:val="00AB5166"/>
    <w:rsid w:val="00AB5620"/>
    <w:rsid w:val="00AB69AB"/>
    <w:rsid w:val="00AB7F74"/>
    <w:rsid w:val="00AC4C69"/>
    <w:rsid w:val="00AC79E0"/>
    <w:rsid w:val="00AD51E5"/>
    <w:rsid w:val="00AE667B"/>
    <w:rsid w:val="00AF11A6"/>
    <w:rsid w:val="00AF37B9"/>
    <w:rsid w:val="00AF6F1D"/>
    <w:rsid w:val="00AF7F6B"/>
    <w:rsid w:val="00B02626"/>
    <w:rsid w:val="00B1135F"/>
    <w:rsid w:val="00B14E8B"/>
    <w:rsid w:val="00B16715"/>
    <w:rsid w:val="00B242FD"/>
    <w:rsid w:val="00B31466"/>
    <w:rsid w:val="00B356F1"/>
    <w:rsid w:val="00B36AE7"/>
    <w:rsid w:val="00B36D63"/>
    <w:rsid w:val="00B47FE3"/>
    <w:rsid w:val="00B57F5F"/>
    <w:rsid w:val="00B6241E"/>
    <w:rsid w:val="00B633F1"/>
    <w:rsid w:val="00B65580"/>
    <w:rsid w:val="00B65994"/>
    <w:rsid w:val="00B72D00"/>
    <w:rsid w:val="00B731C3"/>
    <w:rsid w:val="00B77D15"/>
    <w:rsid w:val="00B811E3"/>
    <w:rsid w:val="00B911E7"/>
    <w:rsid w:val="00B96D70"/>
    <w:rsid w:val="00BA0B66"/>
    <w:rsid w:val="00BA1311"/>
    <w:rsid w:val="00BA3C22"/>
    <w:rsid w:val="00BA4AC7"/>
    <w:rsid w:val="00BB1A9F"/>
    <w:rsid w:val="00BB3AA0"/>
    <w:rsid w:val="00BB6583"/>
    <w:rsid w:val="00BC70B6"/>
    <w:rsid w:val="00BD2B02"/>
    <w:rsid w:val="00BE0FBD"/>
    <w:rsid w:val="00BE1699"/>
    <w:rsid w:val="00BE623F"/>
    <w:rsid w:val="00BF48A9"/>
    <w:rsid w:val="00BF4C59"/>
    <w:rsid w:val="00C060C5"/>
    <w:rsid w:val="00C1033F"/>
    <w:rsid w:val="00C110E4"/>
    <w:rsid w:val="00C11990"/>
    <w:rsid w:val="00C11F35"/>
    <w:rsid w:val="00C168F8"/>
    <w:rsid w:val="00C22F9C"/>
    <w:rsid w:val="00C26251"/>
    <w:rsid w:val="00C269BB"/>
    <w:rsid w:val="00C32000"/>
    <w:rsid w:val="00C42E6E"/>
    <w:rsid w:val="00C52557"/>
    <w:rsid w:val="00C54FB9"/>
    <w:rsid w:val="00C6294D"/>
    <w:rsid w:val="00C62CDA"/>
    <w:rsid w:val="00C63A12"/>
    <w:rsid w:val="00C65D07"/>
    <w:rsid w:val="00C66137"/>
    <w:rsid w:val="00C678CD"/>
    <w:rsid w:val="00C73E96"/>
    <w:rsid w:val="00C751EB"/>
    <w:rsid w:val="00C8049B"/>
    <w:rsid w:val="00C84558"/>
    <w:rsid w:val="00C907C9"/>
    <w:rsid w:val="00C942C1"/>
    <w:rsid w:val="00C94AEE"/>
    <w:rsid w:val="00CA1EB6"/>
    <w:rsid w:val="00CA2282"/>
    <w:rsid w:val="00CA267D"/>
    <w:rsid w:val="00CA59A9"/>
    <w:rsid w:val="00CA68F4"/>
    <w:rsid w:val="00CA7F6F"/>
    <w:rsid w:val="00CB2346"/>
    <w:rsid w:val="00CB433A"/>
    <w:rsid w:val="00CB590A"/>
    <w:rsid w:val="00CB6DFD"/>
    <w:rsid w:val="00CC0637"/>
    <w:rsid w:val="00CC5DB4"/>
    <w:rsid w:val="00CC66DC"/>
    <w:rsid w:val="00CD211B"/>
    <w:rsid w:val="00CD32D1"/>
    <w:rsid w:val="00CD6663"/>
    <w:rsid w:val="00CE0DB3"/>
    <w:rsid w:val="00CE413A"/>
    <w:rsid w:val="00CE7E7C"/>
    <w:rsid w:val="00CF73F1"/>
    <w:rsid w:val="00D04FE8"/>
    <w:rsid w:val="00D11C66"/>
    <w:rsid w:val="00D1706A"/>
    <w:rsid w:val="00D21435"/>
    <w:rsid w:val="00D26549"/>
    <w:rsid w:val="00D339FE"/>
    <w:rsid w:val="00D34ED2"/>
    <w:rsid w:val="00D35026"/>
    <w:rsid w:val="00D631FE"/>
    <w:rsid w:val="00D749A1"/>
    <w:rsid w:val="00D8099B"/>
    <w:rsid w:val="00D83ADA"/>
    <w:rsid w:val="00D9162E"/>
    <w:rsid w:val="00D94549"/>
    <w:rsid w:val="00DA138B"/>
    <w:rsid w:val="00DA23CE"/>
    <w:rsid w:val="00DA35EF"/>
    <w:rsid w:val="00DA3E6D"/>
    <w:rsid w:val="00DA7AC8"/>
    <w:rsid w:val="00DB2266"/>
    <w:rsid w:val="00DB2B0D"/>
    <w:rsid w:val="00DC1437"/>
    <w:rsid w:val="00DC5532"/>
    <w:rsid w:val="00DC5C81"/>
    <w:rsid w:val="00DC5EC3"/>
    <w:rsid w:val="00DC62CC"/>
    <w:rsid w:val="00DD100F"/>
    <w:rsid w:val="00DD261D"/>
    <w:rsid w:val="00DD3A16"/>
    <w:rsid w:val="00DE0625"/>
    <w:rsid w:val="00DE458A"/>
    <w:rsid w:val="00DF68F2"/>
    <w:rsid w:val="00DF6DD5"/>
    <w:rsid w:val="00E0364F"/>
    <w:rsid w:val="00E03C6C"/>
    <w:rsid w:val="00E0515A"/>
    <w:rsid w:val="00E05CDD"/>
    <w:rsid w:val="00E06C36"/>
    <w:rsid w:val="00E1049D"/>
    <w:rsid w:val="00E10A62"/>
    <w:rsid w:val="00E20C58"/>
    <w:rsid w:val="00E26E04"/>
    <w:rsid w:val="00E30044"/>
    <w:rsid w:val="00E341A8"/>
    <w:rsid w:val="00E371EE"/>
    <w:rsid w:val="00E3796F"/>
    <w:rsid w:val="00E41752"/>
    <w:rsid w:val="00E42271"/>
    <w:rsid w:val="00E42829"/>
    <w:rsid w:val="00E43ED4"/>
    <w:rsid w:val="00E44F44"/>
    <w:rsid w:val="00E55AAB"/>
    <w:rsid w:val="00E63DF9"/>
    <w:rsid w:val="00E65109"/>
    <w:rsid w:val="00E65B64"/>
    <w:rsid w:val="00E72538"/>
    <w:rsid w:val="00E76662"/>
    <w:rsid w:val="00E80003"/>
    <w:rsid w:val="00E80517"/>
    <w:rsid w:val="00E97728"/>
    <w:rsid w:val="00EB3779"/>
    <w:rsid w:val="00EC0319"/>
    <w:rsid w:val="00EC0C0C"/>
    <w:rsid w:val="00EC264D"/>
    <w:rsid w:val="00EC5C66"/>
    <w:rsid w:val="00ED0911"/>
    <w:rsid w:val="00EE4552"/>
    <w:rsid w:val="00EE72F2"/>
    <w:rsid w:val="00EF4229"/>
    <w:rsid w:val="00EF44DB"/>
    <w:rsid w:val="00EF7F93"/>
    <w:rsid w:val="00F0567F"/>
    <w:rsid w:val="00F13F7C"/>
    <w:rsid w:val="00F160BC"/>
    <w:rsid w:val="00F2319B"/>
    <w:rsid w:val="00F2365A"/>
    <w:rsid w:val="00F33891"/>
    <w:rsid w:val="00F33B94"/>
    <w:rsid w:val="00F33C12"/>
    <w:rsid w:val="00F45C3E"/>
    <w:rsid w:val="00F57DDC"/>
    <w:rsid w:val="00F60558"/>
    <w:rsid w:val="00F63C56"/>
    <w:rsid w:val="00F7703F"/>
    <w:rsid w:val="00F8172C"/>
    <w:rsid w:val="00F868CE"/>
    <w:rsid w:val="00F90B1C"/>
    <w:rsid w:val="00F91BAF"/>
    <w:rsid w:val="00F95ED5"/>
    <w:rsid w:val="00F96297"/>
    <w:rsid w:val="00FA1C96"/>
    <w:rsid w:val="00FA21B8"/>
    <w:rsid w:val="00FB19AD"/>
    <w:rsid w:val="00FB30C8"/>
    <w:rsid w:val="00FB46CF"/>
    <w:rsid w:val="00FB505F"/>
    <w:rsid w:val="00FB78C2"/>
    <w:rsid w:val="00FC3160"/>
    <w:rsid w:val="00FC4C43"/>
    <w:rsid w:val="00FD21A2"/>
    <w:rsid w:val="00FD32E5"/>
    <w:rsid w:val="00FD5980"/>
    <w:rsid w:val="00FE1DB1"/>
    <w:rsid w:val="00F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853C10"/>
  <w15:docId w15:val="{C80E529D-C147-41DC-8545-912BFC89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85CFE8" w:themeColor="accen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EB"/>
    <w:pPr>
      <w:spacing w:after="160" w:line="259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6F49"/>
    <w:pPr>
      <w:spacing w:after="400" w:line="360" w:lineRule="auto"/>
      <w:outlineLvl w:val="0"/>
    </w:pPr>
    <w:rPr>
      <w:rFonts w:asciiTheme="majorHAnsi" w:eastAsiaTheme="majorEastAsia" w:hAnsiTheme="majorHAnsi" w:cs="Times New Roman (Headings CS)"/>
      <w:b/>
      <w:bCs/>
      <w:color w:val="0A9CA8" w:themeColor="background1"/>
      <w:kern w:val="0"/>
      <w:sz w:val="28"/>
      <w:szCs w:val="28"/>
      <w14:ligatures w14:val="none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531D6D"/>
    <w:pPr>
      <w:spacing w:after="0" w:line="360" w:lineRule="auto"/>
      <w:outlineLvl w:val="1"/>
    </w:pPr>
    <w:rPr>
      <w:b/>
      <w:noProof/>
      <w:color w:val="002E63" w:themeColor="text1"/>
      <w:szCs w:val="4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DD7"/>
    <w:pPr>
      <w:spacing w:after="400" w:line="360" w:lineRule="auto"/>
      <w:outlineLvl w:val="2"/>
    </w:pPr>
    <w:rPr>
      <w:rFonts w:ascii="Arial" w:hAnsi="Arial" w:cs="Arial"/>
      <w:b/>
      <w:color w:val="000000"/>
      <w:kern w:val="0"/>
      <w:sz w:val="24"/>
      <w:szCs w:val="24"/>
      <w14:ligatures w14:val="none"/>
    </w:rPr>
  </w:style>
  <w:style w:type="paragraph" w:styleId="Heading4">
    <w:name w:val="heading 4"/>
    <w:aliases w:val="Heading 4 - white bold"/>
    <w:basedOn w:val="Heading3"/>
    <w:next w:val="Normal"/>
    <w:link w:val="Heading4Char"/>
    <w:uiPriority w:val="9"/>
    <w:unhideWhenUsed/>
    <w:qFormat/>
    <w:rsid w:val="00C26251"/>
    <w:pPr>
      <w:outlineLvl w:val="3"/>
    </w:pPr>
    <w:rPr>
      <w:color w:val="FFFFFF" w:themeColor="background2"/>
      <w:szCs w:val="20"/>
    </w:rPr>
  </w:style>
  <w:style w:type="paragraph" w:styleId="Heading5">
    <w:name w:val="heading 5"/>
    <w:aliases w:val="Heading 5 - Signatory's name"/>
    <w:basedOn w:val="Heading4"/>
    <w:next w:val="Normal"/>
    <w:link w:val="Heading5Char"/>
    <w:uiPriority w:val="9"/>
    <w:unhideWhenUsed/>
    <w:qFormat/>
    <w:rsid w:val="00AB7F74"/>
    <w:pPr>
      <w:spacing w:after="0"/>
      <w:outlineLvl w:val="4"/>
    </w:pPr>
    <w:rPr>
      <w:color w:val="000000"/>
    </w:rPr>
  </w:style>
  <w:style w:type="paragraph" w:styleId="Heading6">
    <w:name w:val="heading 6"/>
    <w:aliases w:val="Signatory position"/>
    <w:basedOn w:val="Normal"/>
    <w:next w:val="Normal"/>
    <w:link w:val="Heading6Char"/>
    <w:uiPriority w:val="9"/>
    <w:unhideWhenUsed/>
    <w:qFormat/>
    <w:rsid w:val="00A23C7C"/>
    <w:pPr>
      <w:keepNext/>
      <w:keepLines/>
      <w:spacing w:after="0" w:line="360" w:lineRule="auto"/>
      <w:outlineLvl w:val="5"/>
    </w:pPr>
    <w:rPr>
      <w:rFonts w:asciiTheme="majorHAnsi" w:eastAsiaTheme="majorEastAsia" w:hAnsiTheme="majorHAnsi" w:cs="Times New Roman (Headings CS)"/>
      <w:color w:val="000000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549"/>
    <w:pPr>
      <w:keepNext/>
      <w:keepLines/>
      <w:snapToGrid w:val="0"/>
      <w:spacing w:after="0" w:line="360" w:lineRule="auto"/>
      <w:outlineLvl w:val="6"/>
    </w:pPr>
    <w:rPr>
      <w:rFonts w:asciiTheme="majorHAnsi" w:eastAsiaTheme="majorEastAsia" w:hAnsiTheme="majorHAnsi" w:cstheme="majorBidi"/>
      <w:iCs/>
      <w:color w:val="000000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B7F74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B7F74"/>
    <w:rPr>
      <w:color w:val="002E63" w:themeColor="text1"/>
    </w:rPr>
  </w:style>
  <w:style w:type="paragraph" w:styleId="Footer">
    <w:name w:val="footer"/>
    <w:basedOn w:val="Normal"/>
    <w:link w:val="FooterChar"/>
    <w:uiPriority w:val="99"/>
    <w:unhideWhenUsed/>
    <w:rsid w:val="00416DD7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16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16DD7"/>
    <w:rPr>
      <w:color w:val="002E63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87"/>
    <w:pPr>
      <w:spacing w:after="0" w:line="360" w:lineRule="auto"/>
    </w:pPr>
    <w:rPr>
      <w:rFonts w:ascii="Tahoma" w:hAnsi="Tahoma" w:cs="Tahoma"/>
      <w:color w:val="000000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6F49"/>
    <w:rPr>
      <w:rFonts w:asciiTheme="majorHAnsi" w:eastAsiaTheme="majorEastAsia" w:hAnsiTheme="majorHAnsi" w:cs="Times New Roman (Headings CS)"/>
      <w:b/>
      <w:bCs/>
      <w:color w:val="0A9CA8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6DD7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31D6D"/>
    <w:rPr>
      <w:b/>
      <w:noProof/>
      <w:color w:val="002E63" w:themeColor="text1"/>
      <w:szCs w:val="40"/>
      <w:lang w:eastAsia="en-GB"/>
    </w:rPr>
  </w:style>
  <w:style w:type="character" w:customStyle="1" w:styleId="Heading4Char">
    <w:name w:val="Heading 4 Char"/>
    <w:aliases w:val="Heading 4 - white bold Char"/>
    <w:basedOn w:val="DefaultParagraphFont"/>
    <w:link w:val="Heading4"/>
    <w:uiPriority w:val="9"/>
    <w:rsid w:val="00C26251"/>
    <w:rPr>
      <w:b/>
      <w:color w:val="FFFFFF" w:themeColor="background2"/>
      <w:szCs w:val="20"/>
    </w:rPr>
  </w:style>
  <w:style w:type="paragraph" w:styleId="ListParagraph">
    <w:name w:val="List Paragraph"/>
    <w:basedOn w:val="Normal"/>
    <w:uiPriority w:val="34"/>
    <w:qFormat/>
    <w:rsid w:val="002F44DC"/>
    <w:pPr>
      <w:spacing w:after="0" w:line="360" w:lineRule="auto"/>
      <w:ind w:left="720"/>
      <w:contextualSpacing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paragraph" w:styleId="ListBullet">
    <w:name w:val="List Bullet"/>
    <w:basedOn w:val="List"/>
    <w:uiPriority w:val="99"/>
    <w:unhideWhenUsed/>
    <w:qFormat/>
    <w:rsid w:val="007A0022"/>
    <w:pPr>
      <w:numPr>
        <w:numId w:val="1"/>
      </w:numPr>
      <w:tabs>
        <w:tab w:val="left" w:pos="340"/>
        <w:tab w:val="left" w:pos="680"/>
        <w:tab w:val="left" w:pos="1021"/>
        <w:tab w:val="left" w:pos="1361"/>
      </w:tabs>
      <w:spacing w:after="400"/>
      <w:ind w:left="340" w:hanging="340"/>
      <w:contextualSpacing w:val="0"/>
    </w:pPr>
  </w:style>
  <w:style w:type="paragraph" w:styleId="ListBullet2">
    <w:name w:val="List Bullet 2"/>
    <w:basedOn w:val="Normal"/>
    <w:uiPriority w:val="99"/>
    <w:unhideWhenUsed/>
    <w:qFormat/>
    <w:rsid w:val="007A0022"/>
    <w:pPr>
      <w:numPr>
        <w:numId w:val="3"/>
      </w:numPr>
      <w:tabs>
        <w:tab w:val="left" w:pos="680"/>
        <w:tab w:val="left" w:pos="1021"/>
        <w:tab w:val="left" w:pos="1361"/>
        <w:tab w:val="left" w:pos="1701"/>
      </w:tabs>
      <w:spacing w:after="400" w:line="360" w:lineRule="auto"/>
      <w:ind w:left="680" w:right="340" w:hanging="340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549"/>
    <w:rPr>
      <w:rFonts w:asciiTheme="majorHAnsi" w:eastAsiaTheme="majorEastAsia" w:hAnsiTheme="majorHAnsi" w:cstheme="majorBidi"/>
      <w:iCs/>
      <w:color w:val="000000"/>
      <w:sz w:val="28"/>
    </w:rPr>
  </w:style>
  <w:style w:type="character" w:customStyle="1" w:styleId="Heading5Char">
    <w:name w:val="Heading 5 Char"/>
    <w:aliases w:val="Heading 5 - Signatory's name Char"/>
    <w:basedOn w:val="DefaultParagraphFont"/>
    <w:link w:val="Heading5"/>
    <w:uiPriority w:val="9"/>
    <w:rsid w:val="00AB7F74"/>
    <w:rPr>
      <w:b/>
      <w:color w:val="000000"/>
      <w:szCs w:val="20"/>
    </w:rPr>
  </w:style>
  <w:style w:type="paragraph" w:customStyle="1" w:styleId="BasicParagraph">
    <w:name w:val="[Basic Paragraph]"/>
    <w:basedOn w:val="Normal"/>
    <w:uiPriority w:val="99"/>
    <w:rsid w:val="0058240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BodyText1">
    <w:name w:val="Body Text1"/>
    <w:qFormat/>
    <w:rsid w:val="002F0156"/>
    <w:pPr>
      <w:spacing w:after="400" w:line="360" w:lineRule="auto"/>
    </w:pPr>
    <w:rPr>
      <w:rFonts w:eastAsiaTheme="minorEastAsia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372A65"/>
  </w:style>
  <w:style w:type="numbering" w:customStyle="1" w:styleId="CurrentList1">
    <w:name w:val="Current List1"/>
    <w:uiPriority w:val="99"/>
    <w:rsid w:val="00093368"/>
    <w:pPr>
      <w:numPr>
        <w:numId w:val="12"/>
      </w:numPr>
    </w:pPr>
  </w:style>
  <w:style w:type="numbering" w:customStyle="1" w:styleId="CurrentList2">
    <w:name w:val="Current List2"/>
    <w:uiPriority w:val="99"/>
    <w:rsid w:val="00093368"/>
    <w:pPr>
      <w:numPr>
        <w:numId w:val="13"/>
      </w:numPr>
    </w:pPr>
  </w:style>
  <w:style w:type="numbering" w:customStyle="1" w:styleId="CurrentList3">
    <w:name w:val="Current List3"/>
    <w:uiPriority w:val="99"/>
    <w:rsid w:val="00093368"/>
    <w:pPr>
      <w:numPr>
        <w:numId w:val="14"/>
      </w:numPr>
    </w:pPr>
  </w:style>
  <w:style w:type="paragraph" w:styleId="List">
    <w:name w:val="List"/>
    <w:basedOn w:val="Normal"/>
    <w:uiPriority w:val="99"/>
    <w:semiHidden/>
    <w:unhideWhenUsed/>
    <w:rsid w:val="00093368"/>
    <w:pPr>
      <w:spacing w:after="0" w:line="360" w:lineRule="auto"/>
      <w:ind w:left="283" w:hanging="283"/>
      <w:contextualSpacing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numbering" w:customStyle="1" w:styleId="CurrentList4">
    <w:name w:val="Current List4"/>
    <w:uiPriority w:val="99"/>
    <w:rsid w:val="00AF11A6"/>
    <w:pPr>
      <w:numPr>
        <w:numId w:val="16"/>
      </w:numPr>
    </w:pPr>
  </w:style>
  <w:style w:type="numbering" w:customStyle="1" w:styleId="CurrentList5">
    <w:name w:val="Current List5"/>
    <w:uiPriority w:val="99"/>
    <w:rsid w:val="00422F77"/>
    <w:pPr>
      <w:numPr>
        <w:numId w:val="17"/>
      </w:numPr>
    </w:pPr>
  </w:style>
  <w:style w:type="numbering" w:customStyle="1" w:styleId="CurrentList6">
    <w:name w:val="Current List6"/>
    <w:uiPriority w:val="99"/>
    <w:rsid w:val="00422F77"/>
    <w:pPr>
      <w:numPr>
        <w:numId w:val="18"/>
      </w:numPr>
    </w:pPr>
  </w:style>
  <w:style w:type="numbering" w:customStyle="1" w:styleId="CurrentList7">
    <w:name w:val="Current List7"/>
    <w:uiPriority w:val="99"/>
    <w:rsid w:val="006A67EE"/>
    <w:pPr>
      <w:numPr>
        <w:numId w:val="20"/>
      </w:numPr>
    </w:pPr>
  </w:style>
  <w:style w:type="numbering" w:customStyle="1" w:styleId="CurrentList8">
    <w:name w:val="Current List8"/>
    <w:uiPriority w:val="99"/>
    <w:rsid w:val="006A67EE"/>
    <w:pPr>
      <w:numPr>
        <w:numId w:val="22"/>
      </w:numPr>
    </w:pPr>
  </w:style>
  <w:style w:type="numbering" w:customStyle="1" w:styleId="CurrentList9">
    <w:name w:val="Current List9"/>
    <w:uiPriority w:val="99"/>
    <w:rsid w:val="006A67EE"/>
    <w:pPr>
      <w:numPr>
        <w:numId w:val="23"/>
      </w:numPr>
    </w:pPr>
  </w:style>
  <w:style w:type="character" w:customStyle="1" w:styleId="Heading6Char">
    <w:name w:val="Heading 6 Char"/>
    <w:aliases w:val="Signatory position Char"/>
    <w:basedOn w:val="DefaultParagraphFont"/>
    <w:link w:val="Heading6"/>
    <w:uiPriority w:val="9"/>
    <w:rsid w:val="00A23C7C"/>
    <w:rPr>
      <w:rFonts w:asciiTheme="majorHAnsi" w:eastAsiaTheme="majorEastAsia" w:hAnsiTheme="majorHAnsi" w:cs="Times New Roman (Headings CS)"/>
      <w:color w:val="000000"/>
    </w:rPr>
  </w:style>
  <w:style w:type="paragraph" w:customStyle="1" w:styleId="Bodytextbold">
    <w:name w:val="Body text bold"/>
    <w:basedOn w:val="BodyText1"/>
    <w:qFormat/>
    <w:rsid w:val="00FB4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4D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F44DC"/>
  </w:style>
  <w:style w:type="character" w:styleId="Hyperlink">
    <w:name w:val="Hyperlink"/>
    <w:basedOn w:val="DefaultParagraphFont"/>
    <w:uiPriority w:val="99"/>
    <w:unhideWhenUsed/>
    <w:rsid w:val="002F44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DC"/>
    <w:rPr>
      <w:color w:val="605E5C"/>
      <w:shd w:val="clear" w:color="auto" w:fill="E1DFDD"/>
    </w:rPr>
  </w:style>
  <w:style w:type="paragraph" w:customStyle="1" w:styleId="ListHeading">
    <w:name w:val="List Heading"/>
    <w:basedOn w:val="Header"/>
    <w:qFormat/>
    <w:rsid w:val="00AB7F74"/>
    <w:pPr>
      <w:tabs>
        <w:tab w:val="clear" w:pos="4513"/>
        <w:tab w:val="clear" w:pos="9026"/>
        <w:tab w:val="right" w:pos="340"/>
        <w:tab w:val="right" w:pos="680"/>
        <w:tab w:val="right" w:pos="1021"/>
        <w:tab w:val="right" w:pos="1361"/>
        <w:tab w:val="right" w:pos="1701"/>
      </w:tabs>
      <w:spacing w:after="400"/>
      <w:ind w:left="340" w:right="340"/>
    </w:pPr>
    <w:rPr>
      <w:color w:val="00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06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6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60C5"/>
    <w:rPr>
      <w:rFonts w:asciiTheme="minorHAnsi" w:hAnsiTheme="minorHAnsi" w:cstheme="minorBidi"/>
      <w:color w:val="auto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0C5"/>
    <w:rPr>
      <w:rFonts w:asciiTheme="minorHAnsi" w:hAnsiTheme="minorHAnsi" w:cstheme="minorBidi"/>
      <w:b/>
      <w:bCs/>
      <w:color w:val="auto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microsoft.com/office/2011/relationships/commentsExtended" Target="commentsExtended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microsoft.com/office/2018/08/relationships/commentsExtensible" Target="commentsExtensible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aGibson\Downloads\The%20RTPI%20Word%20template%20with%20the%20primary%20logo.dotx" TargetMode="External"/></Relationships>
</file>

<file path=word/theme/theme1.xml><?xml version="1.0" encoding="utf-8"?>
<a:theme xmlns:a="http://schemas.openxmlformats.org/drawingml/2006/main" name="Office Theme">
  <a:themeElements>
    <a:clrScheme name="RTPI 2025 WordLH v1">
      <a:dk1>
        <a:srgbClr val="002E63"/>
      </a:dk1>
      <a:lt1>
        <a:srgbClr val="0A9CA8"/>
      </a:lt1>
      <a:dk2>
        <a:srgbClr val="00395B"/>
      </a:dk2>
      <a:lt2>
        <a:srgbClr val="FFFFFF"/>
      </a:lt2>
      <a:accent1>
        <a:srgbClr val="85CFE8"/>
      </a:accent1>
      <a:accent2>
        <a:srgbClr val="02B6DD"/>
      </a:accent2>
      <a:accent3>
        <a:srgbClr val="9CCEA0"/>
      </a:accent3>
      <a:accent4>
        <a:srgbClr val="FED378"/>
      </a:accent4>
      <a:accent5>
        <a:srgbClr val="EC5E68"/>
      </a:accent5>
      <a:accent6>
        <a:srgbClr val="2CB67F"/>
      </a:accent6>
      <a:hlink>
        <a:srgbClr val="0085C9"/>
      </a:hlink>
      <a:folHlink>
        <a:srgbClr val="8A0C49"/>
      </a:folHlink>
    </a:clrScheme>
    <a:fontScheme name="RTPI_v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0" cap="rnd">
          <a:solidFill>
            <a:schemeClr val="tx2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E0A060D6EC34590FC300690734466" ma:contentTypeVersion="20" ma:contentTypeDescription="Create a new document." ma:contentTypeScope="" ma:versionID="832f06f1f38729f1222bb3ce4dc35667">
  <xsd:schema xmlns:xsd="http://www.w3.org/2001/XMLSchema" xmlns:xs="http://www.w3.org/2001/XMLSchema" xmlns:p="http://schemas.microsoft.com/office/2006/metadata/properties" xmlns:ns2="c36fade6-71f2-46a4-b492-bf1a505b4ad5" xmlns:ns3="d472b8d7-471d-4891-9245-1543add661a8" targetNamespace="http://schemas.microsoft.com/office/2006/metadata/properties" ma:root="true" ma:fieldsID="4bfcf78fa04b370ebaf8eb32fb5ef6b0" ns2:_="" ns3:_="">
    <xsd:import namespace="c36fade6-71f2-46a4-b492-bf1a505b4ad5"/>
    <xsd:import namespace="d472b8d7-471d-4891-9245-1543add66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fade6-71f2-46a4-b492-bf1a505b4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c155d2-d769-42c7-a61f-a8f7d1895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2b8d7-471d-4891-9245-1543add66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d80fd1-fdc4-4999-80b8-c21fd48da0e4}" ma:internalName="TaxCatchAll" ma:showField="CatchAllData" ma:web="d472b8d7-471d-4891-9245-1543add66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2b8d7-471d-4891-9245-1543add661a8" xsi:nil="true"/>
    <lcf76f155ced4ddcb4097134ff3c332f xmlns="c36fade6-71f2-46a4-b492-bf1a505b4a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C34A87-1A20-4CBC-9835-DA5B819A5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143DA-F175-4563-8AA3-041B1D59D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fade6-71f2-46a4-b492-bf1a505b4ad5"/>
    <ds:schemaRef ds:uri="d472b8d7-471d-4891-9245-1543add66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66A18-6091-46B8-9B11-02B1BE9CF254}">
  <ds:schemaRefs>
    <ds:schemaRef ds:uri="http://schemas.microsoft.com/office/2006/metadata/properties"/>
    <ds:schemaRef ds:uri="http://schemas.microsoft.com/office/infopath/2007/PartnerControls"/>
    <ds:schemaRef ds:uri="d472b8d7-471d-4891-9245-1543add661a8"/>
    <ds:schemaRef ds:uri="c36fade6-71f2-46a4-b492-bf1a505b4ad5"/>
  </ds:schemaRefs>
</ds:datastoreItem>
</file>

<file path=customXml/itemProps4.xml><?xml version="1.0" encoding="utf-8"?>
<ds:datastoreItem xmlns:ds="http://schemas.openxmlformats.org/officeDocument/2006/customXml" ds:itemID="{B12A89E7-5D77-B741-A1A5-FEA9A10F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RTPI Word template with the primary logo</Template>
  <TotalTime>767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Gibson</dc:creator>
  <cp:keywords/>
  <cp:lastModifiedBy>Olivia Gibson</cp:lastModifiedBy>
  <cp:revision>306</cp:revision>
  <cp:lastPrinted>2025-04-15T17:35:00Z</cp:lastPrinted>
  <dcterms:created xsi:type="dcterms:W3CDTF">2025-09-08T18:01:00Z</dcterms:created>
  <dcterms:modified xsi:type="dcterms:W3CDTF">2026-01-30T15:25:00Z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0x010100B3CE0A060D6EC34590FC300690734466</vt:lpwstr>
  </property>
  <property fmtid="{D5CDD505-2E9C-101B-9397-08002B2CF9AE}" pid="3" name="MediaServiceImageTags">
    <vt:lpwstr/>
  </property>
</Properties>
</file>