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72FC2" w14:textId="77777777" w:rsidR="008F0AC2" w:rsidRPr="00BE538F" w:rsidRDefault="008F520F" w:rsidP="00BE538F">
      <w:pPr>
        <w:pStyle w:val="Title"/>
        <w:spacing w:line="360" w:lineRule="auto"/>
        <w:rPr>
          <w:rFonts w:ascii="Arial" w:hAnsi="Arial" w:cs="Arial"/>
        </w:rPr>
      </w:pPr>
      <w:r w:rsidRPr="00BE538F">
        <w:rPr>
          <w:rFonts w:ascii="Arial" w:hAnsi="Arial" w:cs="Arial"/>
        </w:rPr>
        <w:t>Spatial Approaches to Local Energy Planning (SALEP)</w:t>
      </w:r>
    </w:p>
    <w:p w14:paraId="2626DC82" w14:textId="6E5C1312" w:rsidR="00EB3550" w:rsidRPr="00BE538F" w:rsidRDefault="002430DF" w:rsidP="00BE538F">
      <w:pPr>
        <w:pStyle w:val="Title"/>
        <w:spacing w:line="360" w:lineRule="auto"/>
        <w:rPr>
          <w:rFonts w:ascii="Arial" w:hAnsi="Arial" w:cs="Arial"/>
        </w:rPr>
      </w:pPr>
      <w:r>
        <w:rPr>
          <w:rFonts w:ascii="Arial" w:hAnsi="Arial" w:cs="Arial"/>
        </w:rPr>
        <w:t>Part three: A guide to consenting considerations for planners.</w:t>
      </w:r>
    </w:p>
    <w:p w14:paraId="61E2C390" w14:textId="77777777" w:rsidR="00812699" w:rsidRDefault="00812699" w:rsidP="00812699">
      <w:pPr>
        <w:rPr>
          <w:rFonts w:ascii="Arial" w:hAnsi="Arial" w:cs="Arial"/>
        </w:rPr>
      </w:pPr>
    </w:p>
    <w:p w14:paraId="1D2A48D6" w14:textId="77777777" w:rsidR="00081367" w:rsidRPr="00911246" w:rsidRDefault="00081367" w:rsidP="00081367">
      <w:pPr>
        <w:pStyle w:val="Heading1"/>
        <w:rPr>
          <w:rFonts w:ascii="Arial" w:hAnsi="Arial" w:cs="Arial"/>
        </w:rPr>
      </w:pPr>
      <w:bookmarkStart w:id="0" w:name="_Toc198879943"/>
      <w:r w:rsidRPr="00911246">
        <w:rPr>
          <w:rFonts w:ascii="Arial" w:hAnsi="Arial" w:cs="Arial"/>
        </w:rPr>
        <w:t>The Royal Town Planning Institute (RTPI)</w:t>
      </w:r>
      <w:bookmarkEnd w:id="0"/>
    </w:p>
    <w:p w14:paraId="3E3B8A5F" w14:textId="6CE0429D" w:rsidR="00081367" w:rsidRDefault="00081367" w:rsidP="00812699">
      <w:pPr>
        <w:rPr>
          <w:rFonts w:ascii="Arial" w:hAnsi="Arial" w:cs="Arial"/>
        </w:rPr>
      </w:pPr>
      <w:r w:rsidRPr="00BE538F">
        <w:rPr>
          <w:rFonts w:ascii="Arial" w:hAnsi="Arial" w:cs="Arial"/>
          <w:sz w:val="24"/>
          <w:szCs w:val="24"/>
        </w:rPr>
        <w:t>The RTPI champions the power of planning to create prosperous places and vibrant communities. We have over 27,000 members in the private, public, academic and voluntary sectors. Using our expertise and research we bring evidence and thought leadership to shape planning policies and thinking, putting the profession at the heart of society's big debates. We set the standards of planning education and professional behaviour that give our members, wherever they work in the world, a unique ability to meet complex economic, social and environmental challenges. We are the only body in the United Kingdom that confers Chartered status to planners, the highest professional qualification, sought after by employers in both private and public sectors.</w:t>
      </w:r>
    </w:p>
    <w:p w14:paraId="1B6938CD" w14:textId="77777777" w:rsidR="00081367" w:rsidRPr="00911246" w:rsidRDefault="00081367" w:rsidP="00081367">
      <w:pPr>
        <w:pStyle w:val="Heading1"/>
        <w:rPr>
          <w:rFonts w:ascii="Arial" w:hAnsi="Arial" w:cs="Arial"/>
        </w:rPr>
      </w:pPr>
      <w:bookmarkStart w:id="1" w:name="_Toc198879944"/>
      <w:r w:rsidRPr="00911246">
        <w:rPr>
          <w:rFonts w:ascii="Arial" w:hAnsi="Arial" w:cs="Arial"/>
        </w:rPr>
        <w:t xml:space="preserve">This resource is part of the </w:t>
      </w:r>
      <w:r>
        <w:rPr>
          <w:rFonts w:ascii="Arial" w:hAnsi="Arial" w:cs="Arial"/>
        </w:rPr>
        <w:t>Spatial Approaches to Local Energy Planning (</w:t>
      </w:r>
      <w:r w:rsidRPr="00911246">
        <w:rPr>
          <w:rFonts w:ascii="Arial" w:hAnsi="Arial" w:cs="Arial"/>
        </w:rPr>
        <w:t>SALEP</w:t>
      </w:r>
      <w:r>
        <w:rPr>
          <w:rFonts w:ascii="Arial" w:hAnsi="Arial" w:cs="Arial"/>
        </w:rPr>
        <w:t>)</w:t>
      </w:r>
      <w:r w:rsidRPr="00911246">
        <w:rPr>
          <w:rFonts w:ascii="Arial" w:hAnsi="Arial" w:cs="Arial"/>
        </w:rPr>
        <w:t xml:space="preserve"> suite</w:t>
      </w:r>
      <w:bookmarkEnd w:id="1"/>
    </w:p>
    <w:p w14:paraId="2EB4E2F8" w14:textId="77777777" w:rsidR="00081367" w:rsidRPr="00BE538F" w:rsidRDefault="00081367" w:rsidP="00081367">
      <w:pPr>
        <w:rPr>
          <w:rFonts w:ascii="Arial" w:hAnsi="Arial" w:cs="Arial"/>
          <w:sz w:val="24"/>
          <w:szCs w:val="24"/>
        </w:rPr>
      </w:pPr>
      <w:r w:rsidRPr="00BE538F">
        <w:rPr>
          <w:rFonts w:ascii="Arial" w:hAnsi="Arial" w:cs="Arial"/>
          <w:sz w:val="24"/>
          <w:szCs w:val="24"/>
        </w:rPr>
        <w:t>This resource is part of the RTPI’s SALEP (Spatial Approaches to Local Energy Planning) suite of guidance, analysis and in-depth case studies on integrating energy planning with town planning across the UK. It was produced in collaboration with Regen.</w:t>
      </w:r>
    </w:p>
    <w:p w14:paraId="337D9B5E" w14:textId="5AA1246A" w:rsidR="00081367" w:rsidRPr="00BE538F" w:rsidRDefault="00081367" w:rsidP="00081367">
      <w:pPr>
        <w:rPr>
          <w:rFonts w:ascii="Arial" w:hAnsi="Arial" w:cs="Arial"/>
          <w:sz w:val="24"/>
          <w:szCs w:val="24"/>
        </w:rPr>
      </w:pPr>
      <w:r w:rsidRPr="00BE538F">
        <w:rPr>
          <w:rFonts w:ascii="Arial" w:hAnsi="Arial" w:cs="Arial"/>
          <w:sz w:val="24"/>
          <w:szCs w:val="24"/>
        </w:rPr>
        <w:t xml:space="preserve">For more information and access to the rest of the suite, please visit the </w:t>
      </w:r>
      <w:hyperlink r:id="rId11" w:history="1">
        <w:r w:rsidRPr="00BE538F">
          <w:rPr>
            <w:rStyle w:val="Hyperlink"/>
            <w:rFonts w:ascii="Arial" w:hAnsi="Arial" w:cs="Arial"/>
            <w:sz w:val="24"/>
            <w:szCs w:val="24"/>
          </w:rPr>
          <w:t>SALEP webpage</w:t>
        </w:r>
      </w:hyperlink>
      <w:r w:rsidRPr="00BE538F">
        <w:rPr>
          <w:rFonts w:ascii="Arial" w:hAnsi="Arial" w:cs="Arial"/>
          <w:sz w:val="24"/>
          <w:szCs w:val="24"/>
        </w:rPr>
        <w:t>.</w:t>
      </w:r>
    </w:p>
    <w:p w14:paraId="74BE37B7" w14:textId="4E599B02" w:rsidR="00081367" w:rsidRPr="00BE538F" w:rsidRDefault="00C150CE" w:rsidP="00C150CE">
      <w:pPr>
        <w:pStyle w:val="Heading1"/>
        <w:rPr>
          <w:rFonts w:ascii="Arial" w:hAnsi="Arial" w:cs="Arial"/>
        </w:rPr>
      </w:pPr>
      <w:bookmarkStart w:id="2" w:name="_Toc198879945"/>
      <w:r w:rsidRPr="00BE538F">
        <w:rPr>
          <w:rFonts w:ascii="Arial" w:hAnsi="Arial" w:cs="Arial"/>
        </w:rPr>
        <w:t>Authors</w:t>
      </w:r>
      <w:bookmarkEnd w:id="2"/>
    </w:p>
    <w:p w14:paraId="6A41038A" w14:textId="43F67F3A" w:rsidR="00C150CE" w:rsidRPr="00BE538F" w:rsidRDefault="00C150CE" w:rsidP="00C150CE">
      <w:pPr>
        <w:rPr>
          <w:rFonts w:ascii="Arial" w:hAnsi="Arial" w:cs="Arial"/>
          <w:sz w:val="24"/>
          <w:szCs w:val="24"/>
        </w:rPr>
      </w:pPr>
      <w:r w:rsidRPr="00BE538F">
        <w:rPr>
          <w:rFonts w:ascii="Arial" w:hAnsi="Arial" w:cs="Arial"/>
          <w:sz w:val="24"/>
          <w:szCs w:val="24"/>
        </w:rPr>
        <w:t xml:space="preserve">This document was produced by </w:t>
      </w:r>
      <w:r w:rsidR="003B32AB" w:rsidRPr="00BE538F">
        <w:rPr>
          <w:rFonts w:ascii="Arial" w:hAnsi="Arial" w:cs="Arial"/>
          <w:sz w:val="24"/>
          <w:szCs w:val="24"/>
        </w:rPr>
        <w:t xml:space="preserve">Regen with input from the RTPI. </w:t>
      </w:r>
    </w:p>
    <w:p w14:paraId="349C25D9" w14:textId="7D3998F6" w:rsidR="00C150CE" w:rsidRPr="00BE538F" w:rsidRDefault="00C150CE" w:rsidP="00C150CE">
      <w:pPr>
        <w:pStyle w:val="Heading1"/>
        <w:rPr>
          <w:rFonts w:ascii="Arial" w:hAnsi="Arial" w:cs="Arial"/>
        </w:rPr>
      </w:pPr>
      <w:bookmarkStart w:id="3" w:name="_Toc198879946"/>
      <w:r w:rsidRPr="00BE538F">
        <w:rPr>
          <w:rFonts w:ascii="Arial" w:hAnsi="Arial" w:cs="Arial"/>
        </w:rPr>
        <w:t>Cover image</w:t>
      </w:r>
      <w:bookmarkEnd w:id="3"/>
    </w:p>
    <w:p w14:paraId="523D73D0" w14:textId="77777777" w:rsidR="005E0F1B" w:rsidRPr="00BE538F" w:rsidRDefault="005E0F1B" w:rsidP="005E0F1B">
      <w:pPr>
        <w:rPr>
          <w:rFonts w:ascii="Arial" w:hAnsi="Arial" w:cs="Arial"/>
          <w:sz w:val="24"/>
          <w:szCs w:val="24"/>
        </w:rPr>
      </w:pPr>
      <w:r w:rsidRPr="00BE538F">
        <w:rPr>
          <w:rFonts w:ascii="Arial" w:hAnsi="Arial" w:cs="Arial"/>
          <w:sz w:val="24"/>
          <w:szCs w:val="24"/>
        </w:rPr>
        <w:t xml:space="preserve">Credit: </w:t>
      </w:r>
      <w:hyperlink r:id="rId12" w:tgtFrame="_blank" w:tooltip="https://www.gettyimages.co.uk/search/photographer?photographer=yevtony" w:history="1">
        <w:proofErr w:type="spellStart"/>
        <w:r w:rsidRPr="00BE538F">
          <w:rPr>
            <w:rStyle w:val="Hyperlink"/>
            <w:rFonts w:ascii="Arial" w:hAnsi="Arial" w:cs="Arial"/>
            <w:sz w:val="24"/>
            <w:szCs w:val="24"/>
          </w:rPr>
          <w:t>yevtony</w:t>
        </w:r>
        <w:proofErr w:type="spellEnd"/>
      </w:hyperlink>
      <w:r w:rsidRPr="00BE538F">
        <w:rPr>
          <w:rFonts w:ascii="Arial" w:hAnsi="Arial" w:cs="Arial"/>
          <w:sz w:val="24"/>
          <w:szCs w:val="24"/>
        </w:rPr>
        <w:t xml:space="preserve"> </w:t>
      </w:r>
    </w:p>
    <w:p w14:paraId="1A90DD90" w14:textId="77777777" w:rsidR="005E0F1B" w:rsidRPr="00BE538F" w:rsidRDefault="005E0F1B" w:rsidP="005E0F1B">
      <w:pPr>
        <w:rPr>
          <w:rFonts w:ascii="Arial" w:hAnsi="Arial" w:cs="Arial"/>
          <w:sz w:val="24"/>
          <w:szCs w:val="24"/>
        </w:rPr>
      </w:pPr>
      <w:r w:rsidRPr="00BE538F">
        <w:rPr>
          <w:rFonts w:ascii="Arial" w:hAnsi="Arial" w:cs="Arial"/>
          <w:sz w:val="24"/>
          <w:szCs w:val="24"/>
        </w:rPr>
        <w:t>Royalty free.</w:t>
      </w:r>
    </w:p>
    <w:p w14:paraId="1B45E846" w14:textId="77777777" w:rsidR="00081367" w:rsidRPr="00BE538F" w:rsidRDefault="00081367" w:rsidP="00812699">
      <w:pPr>
        <w:rPr>
          <w:rFonts w:ascii="Arial" w:hAnsi="Arial" w:cs="Arial"/>
        </w:rPr>
      </w:pPr>
    </w:p>
    <w:sdt>
      <w:sdtPr>
        <w:rPr>
          <w:rFonts w:eastAsiaTheme="minorHAnsi" w:cstheme="minorBidi"/>
          <w:b w:val="0"/>
          <w:sz w:val="22"/>
          <w:szCs w:val="22"/>
        </w:rPr>
        <w:id w:val="957612445"/>
        <w:docPartObj>
          <w:docPartGallery w:val="Table of Contents"/>
          <w:docPartUnique/>
        </w:docPartObj>
      </w:sdtPr>
      <w:sdtEndPr>
        <w:rPr>
          <w:bCs/>
          <w:noProof/>
        </w:rPr>
      </w:sdtEndPr>
      <w:sdtContent>
        <w:p w14:paraId="19421CFE" w14:textId="3A745915" w:rsidR="00DC4BC8" w:rsidRPr="00BE538F" w:rsidRDefault="00DC4BC8">
          <w:pPr>
            <w:pStyle w:val="TOCHeading"/>
            <w:rPr>
              <w:rFonts w:ascii="Arial" w:hAnsi="Arial" w:cs="Arial"/>
            </w:rPr>
          </w:pPr>
          <w:r w:rsidRPr="00BE538F">
            <w:rPr>
              <w:rFonts w:ascii="Arial" w:hAnsi="Arial" w:cs="Arial"/>
            </w:rPr>
            <w:t>Contents</w:t>
          </w:r>
        </w:p>
        <w:p w14:paraId="2A8267A9" w14:textId="17DBE73A" w:rsidR="00047978" w:rsidRDefault="00DC4BC8">
          <w:pPr>
            <w:pStyle w:val="TOC1"/>
            <w:rPr>
              <w:rFonts w:asciiTheme="minorHAnsi" w:eastAsiaTheme="minorEastAsia" w:hAnsiTheme="minorHAnsi"/>
              <w:sz w:val="24"/>
              <w:szCs w:val="24"/>
              <w:lang w:eastAsia="en-GB"/>
            </w:rPr>
          </w:pPr>
          <w:r>
            <w:fldChar w:fldCharType="begin"/>
          </w:r>
          <w:r>
            <w:instrText xml:space="preserve"> TOC \o "1-3" \h \z \u </w:instrText>
          </w:r>
          <w:r>
            <w:fldChar w:fldCharType="separate"/>
          </w:r>
          <w:hyperlink w:anchor="_Toc198879943" w:history="1">
            <w:r w:rsidR="00047978" w:rsidRPr="00696B44">
              <w:rPr>
                <w:rStyle w:val="Hyperlink"/>
                <w:rFonts w:ascii="Arial" w:hAnsi="Arial" w:cs="Arial"/>
              </w:rPr>
              <w:t>The Royal Town Planning Institute (RTPI)</w:t>
            </w:r>
            <w:r w:rsidR="00047978">
              <w:rPr>
                <w:webHidden/>
              </w:rPr>
              <w:tab/>
            </w:r>
            <w:r w:rsidR="00047978">
              <w:rPr>
                <w:webHidden/>
              </w:rPr>
              <w:fldChar w:fldCharType="begin"/>
            </w:r>
            <w:r w:rsidR="00047978">
              <w:rPr>
                <w:webHidden/>
              </w:rPr>
              <w:instrText xml:space="preserve"> PAGEREF _Toc198879943 \h </w:instrText>
            </w:r>
            <w:r w:rsidR="00047978">
              <w:rPr>
                <w:webHidden/>
              </w:rPr>
            </w:r>
            <w:r w:rsidR="00047978">
              <w:rPr>
                <w:webHidden/>
              </w:rPr>
              <w:fldChar w:fldCharType="separate"/>
            </w:r>
            <w:r w:rsidR="00047978">
              <w:rPr>
                <w:webHidden/>
              </w:rPr>
              <w:t>1</w:t>
            </w:r>
            <w:r w:rsidR="00047978">
              <w:rPr>
                <w:webHidden/>
              </w:rPr>
              <w:fldChar w:fldCharType="end"/>
            </w:r>
          </w:hyperlink>
        </w:p>
        <w:p w14:paraId="67CF947C" w14:textId="22E58437" w:rsidR="00047978" w:rsidRDefault="00047978">
          <w:pPr>
            <w:pStyle w:val="TOC1"/>
            <w:rPr>
              <w:rFonts w:asciiTheme="minorHAnsi" w:eastAsiaTheme="minorEastAsia" w:hAnsiTheme="minorHAnsi"/>
              <w:sz w:val="24"/>
              <w:szCs w:val="24"/>
              <w:lang w:eastAsia="en-GB"/>
            </w:rPr>
          </w:pPr>
          <w:hyperlink w:anchor="_Toc198879944" w:history="1">
            <w:r w:rsidRPr="00696B44">
              <w:rPr>
                <w:rStyle w:val="Hyperlink"/>
                <w:rFonts w:ascii="Arial" w:hAnsi="Arial" w:cs="Arial"/>
              </w:rPr>
              <w:t>This resource is part of the Spatial Approaches to Local Energy Planning (SALEP) suite</w:t>
            </w:r>
            <w:r>
              <w:rPr>
                <w:webHidden/>
              </w:rPr>
              <w:tab/>
            </w:r>
            <w:r>
              <w:rPr>
                <w:webHidden/>
              </w:rPr>
              <w:fldChar w:fldCharType="begin"/>
            </w:r>
            <w:r>
              <w:rPr>
                <w:webHidden/>
              </w:rPr>
              <w:instrText xml:space="preserve"> PAGEREF _Toc198879944 \h </w:instrText>
            </w:r>
            <w:r>
              <w:rPr>
                <w:webHidden/>
              </w:rPr>
            </w:r>
            <w:r>
              <w:rPr>
                <w:webHidden/>
              </w:rPr>
              <w:fldChar w:fldCharType="separate"/>
            </w:r>
            <w:r>
              <w:rPr>
                <w:webHidden/>
              </w:rPr>
              <w:t>1</w:t>
            </w:r>
            <w:r>
              <w:rPr>
                <w:webHidden/>
              </w:rPr>
              <w:fldChar w:fldCharType="end"/>
            </w:r>
          </w:hyperlink>
        </w:p>
        <w:p w14:paraId="21804DF0" w14:textId="459049D1" w:rsidR="00047978" w:rsidRDefault="00047978">
          <w:pPr>
            <w:pStyle w:val="TOC1"/>
            <w:rPr>
              <w:rFonts w:asciiTheme="minorHAnsi" w:eastAsiaTheme="minorEastAsia" w:hAnsiTheme="minorHAnsi"/>
              <w:sz w:val="24"/>
              <w:szCs w:val="24"/>
              <w:lang w:eastAsia="en-GB"/>
            </w:rPr>
          </w:pPr>
          <w:hyperlink w:anchor="_Toc198879945" w:history="1">
            <w:r w:rsidRPr="00696B44">
              <w:rPr>
                <w:rStyle w:val="Hyperlink"/>
                <w:rFonts w:ascii="Arial" w:hAnsi="Arial" w:cs="Arial"/>
              </w:rPr>
              <w:t>Authors</w:t>
            </w:r>
            <w:r>
              <w:rPr>
                <w:webHidden/>
              </w:rPr>
              <w:tab/>
            </w:r>
            <w:r>
              <w:rPr>
                <w:webHidden/>
              </w:rPr>
              <w:fldChar w:fldCharType="begin"/>
            </w:r>
            <w:r>
              <w:rPr>
                <w:webHidden/>
              </w:rPr>
              <w:instrText xml:space="preserve"> PAGEREF _Toc198879945 \h </w:instrText>
            </w:r>
            <w:r>
              <w:rPr>
                <w:webHidden/>
              </w:rPr>
            </w:r>
            <w:r>
              <w:rPr>
                <w:webHidden/>
              </w:rPr>
              <w:fldChar w:fldCharType="separate"/>
            </w:r>
            <w:r>
              <w:rPr>
                <w:webHidden/>
              </w:rPr>
              <w:t>1</w:t>
            </w:r>
            <w:r>
              <w:rPr>
                <w:webHidden/>
              </w:rPr>
              <w:fldChar w:fldCharType="end"/>
            </w:r>
          </w:hyperlink>
        </w:p>
        <w:p w14:paraId="523AB173" w14:textId="7C97CD09" w:rsidR="00047978" w:rsidRDefault="00047978">
          <w:pPr>
            <w:pStyle w:val="TOC1"/>
            <w:rPr>
              <w:rFonts w:asciiTheme="minorHAnsi" w:eastAsiaTheme="minorEastAsia" w:hAnsiTheme="minorHAnsi"/>
              <w:sz w:val="24"/>
              <w:szCs w:val="24"/>
              <w:lang w:eastAsia="en-GB"/>
            </w:rPr>
          </w:pPr>
          <w:hyperlink w:anchor="_Toc198879946" w:history="1">
            <w:r w:rsidRPr="00696B44">
              <w:rPr>
                <w:rStyle w:val="Hyperlink"/>
                <w:rFonts w:ascii="Arial" w:hAnsi="Arial" w:cs="Arial"/>
              </w:rPr>
              <w:t>Cover image</w:t>
            </w:r>
            <w:r>
              <w:rPr>
                <w:webHidden/>
              </w:rPr>
              <w:tab/>
            </w:r>
            <w:r>
              <w:rPr>
                <w:webHidden/>
              </w:rPr>
              <w:fldChar w:fldCharType="begin"/>
            </w:r>
            <w:r>
              <w:rPr>
                <w:webHidden/>
              </w:rPr>
              <w:instrText xml:space="preserve"> PAGEREF _Toc198879946 \h </w:instrText>
            </w:r>
            <w:r>
              <w:rPr>
                <w:webHidden/>
              </w:rPr>
            </w:r>
            <w:r>
              <w:rPr>
                <w:webHidden/>
              </w:rPr>
              <w:fldChar w:fldCharType="separate"/>
            </w:r>
            <w:r>
              <w:rPr>
                <w:webHidden/>
              </w:rPr>
              <w:t>1</w:t>
            </w:r>
            <w:r>
              <w:rPr>
                <w:webHidden/>
              </w:rPr>
              <w:fldChar w:fldCharType="end"/>
            </w:r>
          </w:hyperlink>
        </w:p>
        <w:p w14:paraId="30B66AA3" w14:textId="4AB52107" w:rsidR="00047978" w:rsidRDefault="00047978">
          <w:pPr>
            <w:pStyle w:val="TOC1"/>
            <w:rPr>
              <w:rFonts w:asciiTheme="minorHAnsi" w:eastAsiaTheme="minorEastAsia" w:hAnsiTheme="minorHAnsi"/>
              <w:sz w:val="24"/>
              <w:szCs w:val="24"/>
              <w:lang w:eastAsia="en-GB"/>
            </w:rPr>
          </w:pPr>
          <w:hyperlink w:anchor="_Toc198879947" w:history="1">
            <w:r w:rsidRPr="00696B44">
              <w:rPr>
                <w:rStyle w:val="Hyperlink"/>
                <w:rFonts w:ascii="Arial" w:hAnsi="Arial" w:cs="Arial"/>
              </w:rPr>
              <w:t>1. Introduction</w:t>
            </w:r>
            <w:r>
              <w:rPr>
                <w:webHidden/>
              </w:rPr>
              <w:tab/>
            </w:r>
            <w:r>
              <w:rPr>
                <w:webHidden/>
              </w:rPr>
              <w:fldChar w:fldCharType="begin"/>
            </w:r>
            <w:r>
              <w:rPr>
                <w:webHidden/>
              </w:rPr>
              <w:instrText xml:space="preserve"> PAGEREF _Toc198879947 \h </w:instrText>
            </w:r>
            <w:r>
              <w:rPr>
                <w:webHidden/>
              </w:rPr>
            </w:r>
            <w:r>
              <w:rPr>
                <w:webHidden/>
              </w:rPr>
              <w:fldChar w:fldCharType="separate"/>
            </w:r>
            <w:r>
              <w:rPr>
                <w:webHidden/>
              </w:rPr>
              <w:t>5</w:t>
            </w:r>
            <w:r>
              <w:rPr>
                <w:webHidden/>
              </w:rPr>
              <w:fldChar w:fldCharType="end"/>
            </w:r>
          </w:hyperlink>
        </w:p>
        <w:p w14:paraId="6125AB3B" w14:textId="700EF12F" w:rsidR="00047978" w:rsidRDefault="00047978">
          <w:pPr>
            <w:pStyle w:val="TOC2"/>
            <w:rPr>
              <w:rFonts w:asciiTheme="minorHAnsi" w:eastAsiaTheme="minorEastAsia" w:hAnsiTheme="minorHAnsi"/>
              <w:sz w:val="24"/>
              <w:szCs w:val="24"/>
              <w:lang w:eastAsia="en-GB"/>
            </w:rPr>
          </w:pPr>
          <w:hyperlink w:anchor="_Toc198879948" w:history="1">
            <w:r w:rsidRPr="00696B44">
              <w:rPr>
                <w:rStyle w:val="Hyperlink"/>
                <w:rFonts w:ascii="Arial" w:hAnsi="Arial" w:cs="Arial"/>
              </w:rPr>
              <w:t>1.1 What technologies does this guide cover, and why?</w:t>
            </w:r>
            <w:r>
              <w:rPr>
                <w:webHidden/>
              </w:rPr>
              <w:tab/>
            </w:r>
            <w:r>
              <w:rPr>
                <w:webHidden/>
              </w:rPr>
              <w:fldChar w:fldCharType="begin"/>
            </w:r>
            <w:r>
              <w:rPr>
                <w:webHidden/>
              </w:rPr>
              <w:instrText xml:space="preserve"> PAGEREF _Toc198879948 \h </w:instrText>
            </w:r>
            <w:r>
              <w:rPr>
                <w:webHidden/>
              </w:rPr>
            </w:r>
            <w:r>
              <w:rPr>
                <w:webHidden/>
              </w:rPr>
              <w:fldChar w:fldCharType="separate"/>
            </w:r>
            <w:r>
              <w:rPr>
                <w:webHidden/>
              </w:rPr>
              <w:t>5</w:t>
            </w:r>
            <w:r>
              <w:rPr>
                <w:webHidden/>
              </w:rPr>
              <w:fldChar w:fldCharType="end"/>
            </w:r>
          </w:hyperlink>
        </w:p>
        <w:p w14:paraId="7D26E33A" w14:textId="1DB3D037" w:rsidR="00047978" w:rsidRDefault="00047978">
          <w:pPr>
            <w:pStyle w:val="TOC1"/>
            <w:rPr>
              <w:rFonts w:asciiTheme="minorHAnsi" w:eastAsiaTheme="minorEastAsia" w:hAnsiTheme="minorHAnsi"/>
              <w:sz w:val="24"/>
              <w:szCs w:val="24"/>
              <w:lang w:eastAsia="en-GB"/>
            </w:rPr>
          </w:pPr>
          <w:hyperlink w:anchor="_Toc198879949" w:history="1">
            <w:r w:rsidRPr="00696B44">
              <w:rPr>
                <w:rStyle w:val="Hyperlink"/>
                <w:rFonts w:ascii="Arial" w:hAnsi="Arial" w:cs="Arial"/>
              </w:rPr>
              <w:t>2. Cross-technology considerations</w:t>
            </w:r>
            <w:r>
              <w:rPr>
                <w:webHidden/>
              </w:rPr>
              <w:tab/>
            </w:r>
            <w:r>
              <w:rPr>
                <w:webHidden/>
              </w:rPr>
              <w:fldChar w:fldCharType="begin"/>
            </w:r>
            <w:r>
              <w:rPr>
                <w:webHidden/>
              </w:rPr>
              <w:instrText xml:space="preserve"> PAGEREF _Toc198879949 \h </w:instrText>
            </w:r>
            <w:r>
              <w:rPr>
                <w:webHidden/>
              </w:rPr>
            </w:r>
            <w:r>
              <w:rPr>
                <w:webHidden/>
              </w:rPr>
              <w:fldChar w:fldCharType="separate"/>
            </w:r>
            <w:r>
              <w:rPr>
                <w:webHidden/>
              </w:rPr>
              <w:t>9</w:t>
            </w:r>
            <w:r>
              <w:rPr>
                <w:webHidden/>
              </w:rPr>
              <w:fldChar w:fldCharType="end"/>
            </w:r>
          </w:hyperlink>
        </w:p>
        <w:p w14:paraId="57E81E62" w14:textId="2556C14D" w:rsidR="00047978" w:rsidRDefault="00047978">
          <w:pPr>
            <w:pStyle w:val="TOC2"/>
            <w:rPr>
              <w:rFonts w:asciiTheme="minorHAnsi" w:eastAsiaTheme="minorEastAsia" w:hAnsiTheme="minorHAnsi"/>
              <w:sz w:val="24"/>
              <w:szCs w:val="24"/>
              <w:lang w:eastAsia="en-GB"/>
            </w:rPr>
          </w:pPr>
          <w:hyperlink w:anchor="_Toc198879950" w:history="1">
            <w:r w:rsidRPr="00696B44">
              <w:rPr>
                <w:rStyle w:val="Hyperlink"/>
                <w:rFonts w:ascii="Arial" w:hAnsi="Arial" w:cs="Arial"/>
              </w:rPr>
              <w:t>2.1 England</w:t>
            </w:r>
            <w:r>
              <w:rPr>
                <w:webHidden/>
              </w:rPr>
              <w:tab/>
            </w:r>
            <w:r>
              <w:rPr>
                <w:webHidden/>
              </w:rPr>
              <w:fldChar w:fldCharType="begin"/>
            </w:r>
            <w:r>
              <w:rPr>
                <w:webHidden/>
              </w:rPr>
              <w:instrText xml:space="preserve"> PAGEREF _Toc198879950 \h </w:instrText>
            </w:r>
            <w:r>
              <w:rPr>
                <w:webHidden/>
              </w:rPr>
            </w:r>
            <w:r>
              <w:rPr>
                <w:webHidden/>
              </w:rPr>
              <w:fldChar w:fldCharType="separate"/>
            </w:r>
            <w:r>
              <w:rPr>
                <w:webHidden/>
              </w:rPr>
              <w:t>9</w:t>
            </w:r>
            <w:r>
              <w:rPr>
                <w:webHidden/>
              </w:rPr>
              <w:fldChar w:fldCharType="end"/>
            </w:r>
          </w:hyperlink>
        </w:p>
        <w:p w14:paraId="7EE2683E" w14:textId="3B2F0BEF" w:rsidR="00047978" w:rsidRDefault="00047978">
          <w:pPr>
            <w:pStyle w:val="TOC2"/>
            <w:rPr>
              <w:rFonts w:asciiTheme="minorHAnsi" w:eastAsiaTheme="minorEastAsia" w:hAnsiTheme="minorHAnsi"/>
              <w:sz w:val="24"/>
              <w:szCs w:val="24"/>
              <w:lang w:eastAsia="en-GB"/>
            </w:rPr>
          </w:pPr>
          <w:hyperlink w:anchor="_Toc198879951" w:history="1">
            <w:r w:rsidRPr="00696B44">
              <w:rPr>
                <w:rStyle w:val="Hyperlink"/>
                <w:rFonts w:ascii="Arial" w:hAnsi="Arial" w:cs="Arial"/>
              </w:rPr>
              <w:t>2.2 Wales</w:t>
            </w:r>
            <w:r>
              <w:rPr>
                <w:webHidden/>
              </w:rPr>
              <w:tab/>
            </w:r>
            <w:r>
              <w:rPr>
                <w:webHidden/>
              </w:rPr>
              <w:fldChar w:fldCharType="begin"/>
            </w:r>
            <w:r>
              <w:rPr>
                <w:webHidden/>
              </w:rPr>
              <w:instrText xml:space="preserve"> PAGEREF _Toc198879951 \h </w:instrText>
            </w:r>
            <w:r>
              <w:rPr>
                <w:webHidden/>
              </w:rPr>
            </w:r>
            <w:r>
              <w:rPr>
                <w:webHidden/>
              </w:rPr>
              <w:fldChar w:fldCharType="separate"/>
            </w:r>
            <w:r>
              <w:rPr>
                <w:webHidden/>
              </w:rPr>
              <w:t>10</w:t>
            </w:r>
            <w:r>
              <w:rPr>
                <w:webHidden/>
              </w:rPr>
              <w:fldChar w:fldCharType="end"/>
            </w:r>
          </w:hyperlink>
        </w:p>
        <w:p w14:paraId="4EC62023" w14:textId="3D250B23" w:rsidR="00047978" w:rsidRDefault="00047978">
          <w:pPr>
            <w:pStyle w:val="TOC2"/>
            <w:rPr>
              <w:rFonts w:asciiTheme="minorHAnsi" w:eastAsiaTheme="minorEastAsia" w:hAnsiTheme="minorHAnsi"/>
              <w:sz w:val="24"/>
              <w:szCs w:val="24"/>
              <w:lang w:eastAsia="en-GB"/>
            </w:rPr>
          </w:pPr>
          <w:hyperlink w:anchor="_Toc198879952" w:history="1">
            <w:r w:rsidRPr="00696B44">
              <w:rPr>
                <w:rStyle w:val="Hyperlink"/>
                <w:rFonts w:ascii="Arial" w:hAnsi="Arial" w:cs="Arial"/>
              </w:rPr>
              <w:t>2.3 Scotland</w:t>
            </w:r>
            <w:r>
              <w:rPr>
                <w:webHidden/>
              </w:rPr>
              <w:tab/>
            </w:r>
            <w:r>
              <w:rPr>
                <w:webHidden/>
              </w:rPr>
              <w:fldChar w:fldCharType="begin"/>
            </w:r>
            <w:r>
              <w:rPr>
                <w:webHidden/>
              </w:rPr>
              <w:instrText xml:space="preserve"> PAGEREF _Toc198879952 \h </w:instrText>
            </w:r>
            <w:r>
              <w:rPr>
                <w:webHidden/>
              </w:rPr>
            </w:r>
            <w:r>
              <w:rPr>
                <w:webHidden/>
              </w:rPr>
              <w:fldChar w:fldCharType="separate"/>
            </w:r>
            <w:r>
              <w:rPr>
                <w:webHidden/>
              </w:rPr>
              <w:t>12</w:t>
            </w:r>
            <w:r>
              <w:rPr>
                <w:webHidden/>
              </w:rPr>
              <w:fldChar w:fldCharType="end"/>
            </w:r>
          </w:hyperlink>
        </w:p>
        <w:p w14:paraId="21CBC43F" w14:textId="6BC0D939" w:rsidR="00047978" w:rsidRDefault="00047978">
          <w:pPr>
            <w:pStyle w:val="TOC2"/>
            <w:rPr>
              <w:rFonts w:asciiTheme="minorHAnsi" w:eastAsiaTheme="minorEastAsia" w:hAnsiTheme="minorHAnsi"/>
              <w:sz w:val="24"/>
              <w:szCs w:val="24"/>
              <w:lang w:eastAsia="en-GB"/>
            </w:rPr>
          </w:pPr>
          <w:hyperlink w:anchor="_Toc198879953" w:history="1">
            <w:r w:rsidRPr="00696B44">
              <w:rPr>
                <w:rStyle w:val="Hyperlink"/>
                <w:rFonts w:ascii="Arial" w:hAnsi="Arial" w:cs="Arial"/>
              </w:rPr>
              <w:t>2.4 Northern Ireland</w:t>
            </w:r>
            <w:r>
              <w:rPr>
                <w:webHidden/>
              </w:rPr>
              <w:tab/>
            </w:r>
            <w:r>
              <w:rPr>
                <w:webHidden/>
              </w:rPr>
              <w:fldChar w:fldCharType="begin"/>
            </w:r>
            <w:r>
              <w:rPr>
                <w:webHidden/>
              </w:rPr>
              <w:instrText xml:space="preserve"> PAGEREF _Toc198879953 \h </w:instrText>
            </w:r>
            <w:r>
              <w:rPr>
                <w:webHidden/>
              </w:rPr>
            </w:r>
            <w:r>
              <w:rPr>
                <w:webHidden/>
              </w:rPr>
              <w:fldChar w:fldCharType="separate"/>
            </w:r>
            <w:r>
              <w:rPr>
                <w:webHidden/>
              </w:rPr>
              <w:t>13</w:t>
            </w:r>
            <w:r>
              <w:rPr>
                <w:webHidden/>
              </w:rPr>
              <w:fldChar w:fldCharType="end"/>
            </w:r>
          </w:hyperlink>
        </w:p>
        <w:p w14:paraId="21345D16" w14:textId="6F6F79ED" w:rsidR="00047978" w:rsidRDefault="00047978">
          <w:pPr>
            <w:pStyle w:val="TOC1"/>
            <w:rPr>
              <w:rFonts w:asciiTheme="minorHAnsi" w:eastAsiaTheme="minorEastAsia" w:hAnsiTheme="minorHAnsi"/>
              <w:sz w:val="24"/>
              <w:szCs w:val="24"/>
              <w:lang w:eastAsia="en-GB"/>
            </w:rPr>
          </w:pPr>
          <w:hyperlink w:anchor="_Toc198879954" w:history="1">
            <w:r w:rsidRPr="00696B44">
              <w:rPr>
                <w:rStyle w:val="Hyperlink"/>
                <w:rFonts w:ascii="Arial" w:hAnsi="Arial" w:cs="Arial"/>
              </w:rPr>
              <w:t>3. Onshore wind</w:t>
            </w:r>
            <w:r>
              <w:rPr>
                <w:webHidden/>
              </w:rPr>
              <w:tab/>
            </w:r>
            <w:r>
              <w:rPr>
                <w:webHidden/>
              </w:rPr>
              <w:fldChar w:fldCharType="begin"/>
            </w:r>
            <w:r>
              <w:rPr>
                <w:webHidden/>
              </w:rPr>
              <w:instrText xml:space="preserve"> PAGEREF _Toc198879954 \h </w:instrText>
            </w:r>
            <w:r>
              <w:rPr>
                <w:webHidden/>
              </w:rPr>
            </w:r>
            <w:r>
              <w:rPr>
                <w:webHidden/>
              </w:rPr>
              <w:fldChar w:fldCharType="separate"/>
            </w:r>
            <w:r>
              <w:rPr>
                <w:webHidden/>
              </w:rPr>
              <w:t>14</w:t>
            </w:r>
            <w:r>
              <w:rPr>
                <w:webHidden/>
              </w:rPr>
              <w:fldChar w:fldCharType="end"/>
            </w:r>
          </w:hyperlink>
        </w:p>
        <w:p w14:paraId="70E3D14F" w14:textId="6F98D967" w:rsidR="00047978" w:rsidRDefault="00047978">
          <w:pPr>
            <w:pStyle w:val="TOC2"/>
            <w:rPr>
              <w:rFonts w:asciiTheme="minorHAnsi" w:eastAsiaTheme="minorEastAsia" w:hAnsiTheme="minorHAnsi"/>
              <w:sz w:val="24"/>
              <w:szCs w:val="24"/>
              <w:lang w:eastAsia="en-GB"/>
            </w:rPr>
          </w:pPr>
          <w:hyperlink w:anchor="_Toc198879955" w:history="1">
            <w:r w:rsidRPr="00696B44">
              <w:rPr>
                <w:rStyle w:val="Hyperlink"/>
                <w:rFonts w:ascii="Arial" w:hAnsi="Arial" w:cs="Arial"/>
              </w:rPr>
              <w:t>3.1 UK-wide guidance</w:t>
            </w:r>
            <w:r>
              <w:rPr>
                <w:webHidden/>
              </w:rPr>
              <w:tab/>
            </w:r>
            <w:r>
              <w:rPr>
                <w:webHidden/>
              </w:rPr>
              <w:fldChar w:fldCharType="begin"/>
            </w:r>
            <w:r>
              <w:rPr>
                <w:webHidden/>
              </w:rPr>
              <w:instrText xml:space="preserve"> PAGEREF _Toc198879955 \h </w:instrText>
            </w:r>
            <w:r>
              <w:rPr>
                <w:webHidden/>
              </w:rPr>
            </w:r>
            <w:r>
              <w:rPr>
                <w:webHidden/>
              </w:rPr>
              <w:fldChar w:fldCharType="separate"/>
            </w:r>
            <w:r>
              <w:rPr>
                <w:webHidden/>
              </w:rPr>
              <w:t>14</w:t>
            </w:r>
            <w:r>
              <w:rPr>
                <w:webHidden/>
              </w:rPr>
              <w:fldChar w:fldCharType="end"/>
            </w:r>
          </w:hyperlink>
        </w:p>
        <w:p w14:paraId="6EE1A601" w14:textId="516AA2A5" w:rsidR="00047978" w:rsidRDefault="00047978">
          <w:pPr>
            <w:pStyle w:val="TOC2"/>
            <w:rPr>
              <w:rFonts w:asciiTheme="minorHAnsi" w:eastAsiaTheme="minorEastAsia" w:hAnsiTheme="minorHAnsi"/>
              <w:sz w:val="24"/>
              <w:szCs w:val="24"/>
              <w:lang w:eastAsia="en-GB"/>
            </w:rPr>
          </w:pPr>
          <w:hyperlink w:anchor="_Toc198879956" w:history="1">
            <w:r w:rsidRPr="00696B44">
              <w:rPr>
                <w:rStyle w:val="Hyperlink"/>
                <w:rFonts w:ascii="Arial" w:hAnsi="Arial" w:cs="Arial"/>
              </w:rPr>
              <w:t>3.2 England</w:t>
            </w:r>
            <w:r>
              <w:rPr>
                <w:webHidden/>
              </w:rPr>
              <w:tab/>
            </w:r>
            <w:r>
              <w:rPr>
                <w:webHidden/>
              </w:rPr>
              <w:fldChar w:fldCharType="begin"/>
            </w:r>
            <w:r>
              <w:rPr>
                <w:webHidden/>
              </w:rPr>
              <w:instrText xml:space="preserve"> PAGEREF _Toc198879956 \h </w:instrText>
            </w:r>
            <w:r>
              <w:rPr>
                <w:webHidden/>
              </w:rPr>
            </w:r>
            <w:r>
              <w:rPr>
                <w:webHidden/>
              </w:rPr>
              <w:fldChar w:fldCharType="separate"/>
            </w:r>
            <w:r>
              <w:rPr>
                <w:webHidden/>
              </w:rPr>
              <w:t>15</w:t>
            </w:r>
            <w:r>
              <w:rPr>
                <w:webHidden/>
              </w:rPr>
              <w:fldChar w:fldCharType="end"/>
            </w:r>
          </w:hyperlink>
        </w:p>
        <w:p w14:paraId="61AA5A30" w14:textId="6AD80C2E" w:rsidR="00047978" w:rsidRDefault="00047978">
          <w:pPr>
            <w:pStyle w:val="TOC2"/>
            <w:rPr>
              <w:rFonts w:asciiTheme="minorHAnsi" w:eastAsiaTheme="minorEastAsia" w:hAnsiTheme="minorHAnsi"/>
              <w:sz w:val="24"/>
              <w:szCs w:val="24"/>
              <w:lang w:eastAsia="en-GB"/>
            </w:rPr>
          </w:pPr>
          <w:hyperlink w:anchor="_Toc198879957" w:history="1">
            <w:r w:rsidRPr="00696B44">
              <w:rPr>
                <w:rStyle w:val="Hyperlink"/>
                <w:rFonts w:ascii="Arial" w:hAnsi="Arial" w:cs="Arial"/>
              </w:rPr>
              <w:t>3.3 Wales</w:t>
            </w:r>
            <w:r>
              <w:rPr>
                <w:webHidden/>
              </w:rPr>
              <w:tab/>
            </w:r>
            <w:r>
              <w:rPr>
                <w:webHidden/>
              </w:rPr>
              <w:fldChar w:fldCharType="begin"/>
            </w:r>
            <w:r>
              <w:rPr>
                <w:webHidden/>
              </w:rPr>
              <w:instrText xml:space="preserve"> PAGEREF _Toc198879957 \h </w:instrText>
            </w:r>
            <w:r>
              <w:rPr>
                <w:webHidden/>
              </w:rPr>
            </w:r>
            <w:r>
              <w:rPr>
                <w:webHidden/>
              </w:rPr>
              <w:fldChar w:fldCharType="separate"/>
            </w:r>
            <w:r>
              <w:rPr>
                <w:webHidden/>
              </w:rPr>
              <w:t>16</w:t>
            </w:r>
            <w:r>
              <w:rPr>
                <w:webHidden/>
              </w:rPr>
              <w:fldChar w:fldCharType="end"/>
            </w:r>
          </w:hyperlink>
        </w:p>
        <w:p w14:paraId="5F52DDF2" w14:textId="21FD0853" w:rsidR="00047978" w:rsidRDefault="00047978">
          <w:pPr>
            <w:pStyle w:val="TOC2"/>
            <w:rPr>
              <w:rFonts w:asciiTheme="minorHAnsi" w:eastAsiaTheme="minorEastAsia" w:hAnsiTheme="minorHAnsi"/>
              <w:sz w:val="24"/>
              <w:szCs w:val="24"/>
              <w:lang w:eastAsia="en-GB"/>
            </w:rPr>
          </w:pPr>
          <w:hyperlink w:anchor="_Toc198879958" w:history="1">
            <w:r w:rsidRPr="00696B44">
              <w:rPr>
                <w:rStyle w:val="Hyperlink"/>
                <w:rFonts w:ascii="Arial" w:hAnsi="Arial" w:cs="Arial"/>
              </w:rPr>
              <w:t>3.4 Scotland</w:t>
            </w:r>
            <w:r>
              <w:rPr>
                <w:webHidden/>
              </w:rPr>
              <w:tab/>
            </w:r>
            <w:r>
              <w:rPr>
                <w:webHidden/>
              </w:rPr>
              <w:fldChar w:fldCharType="begin"/>
            </w:r>
            <w:r>
              <w:rPr>
                <w:webHidden/>
              </w:rPr>
              <w:instrText xml:space="preserve"> PAGEREF _Toc198879958 \h </w:instrText>
            </w:r>
            <w:r>
              <w:rPr>
                <w:webHidden/>
              </w:rPr>
            </w:r>
            <w:r>
              <w:rPr>
                <w:webHidden/>
              </w:rPr>
              <w:fldChar w:fldCharType="separate"/>
            </w:r>
            <w:r>
              <w:rPr>
                <w:webHidden/>
              </w:rPr>
              <w:t>16</w:t>
            </w:r>
            <w:r>
              <w:rPr>
                <w:webHidden/>
              </w:rPr>
              <w:fldChar w:fldCharType="end"/>
            </w:r>
          </w:hyperlink>
        </w:p>
        <w:p w14:paraId="09196615" w14:textId="28601F00" w:rsidR="00047978" w:rsidRDefault="00047978">
          <w:pPr>
            <w:pStyle w:val="TOC2"/>
            <w:rPr>
              <w:rFonts w:asciiTheme="minorHAnsi" w:eastAsiaTheme="minorEastAsia" w:hAnsiTheme="minorHAnsi"/>
              <w:sz w:val="24"/>
              <w:szCs w:val="24"/>
              <w:lang w:eastAsia="en-GB"/>
            </w:rPr>
          </w:pPr>
          <w:hyperlink w:anchor="_Toc198879959" w:history="1">
            <w:r w:rsidRPr="00696B44">
              <w:rPr>
                <w:rStyle w:val="Hyperlink"/>
                <w:rFonts w:ascii="Arial" w:hAnsi="Arial" w:cs="Arial"/>
              </w:rPr>
              <w:t>3.5 Northern Ireland</w:t>
            </w:r>
            <w:r>
              <w:rPr>
                <w:webHidden/>
              </w:rPr>
              <w:tab/>
            </w:r>
            <w:r>
              <w:rPr>
                <w:webHidden/>
              </w:rPr>
              <w:fldChar w:fldCharType="begin"/>
            </w:r>
            <w:r>
              <w:rPr>
                <w:webHidden/>
              </w:rPr>
              <w:instrText xml:space="preserve"> PAGEREF _Toc198879959 \h </w:instrText>
            </w:r>
            <w:r>
              <w:rPr>
                <w:webHidden/>
              </w:rPr>
            </w:r>
            <w:r>
              <w:rPr>
                <w:webHidden/>
              </w:rPr>
              <w:fldChar w:fldCharType="separate"/>
            </w:r>
            <w:r>
              <w:rPr>
                <w:webHidden/>
              </w:rPr>
              <w:t>17</w:t>
            </w:r>
            <w:r>
              <w:rPr>
                <w:webHidden/>
              </w:rPr>
              <w:fldChar w:fldCharType="end"/>
            </w:r>
          </w:hyperlink>
        </w:p>
        <w:p w14:paraId="2E6DECF3" w14:textId="27875693" w:rsidR="00047978" w:rsidRDefault="00047978">
          <w:pPr>
            <w:pStyle w:val="TOC1"/>
            <w:rPr>
              <w:rFonts w:asciiTheme="minorHAnsi" w:eastAsiaTheme="minorEastAsia" w:hAnsiTheme="minorHAnsi"/>
              <w:sz w:val="24"/>
              <w:szCs w:val="24"/>
              <w:lang w:eastAsia="en-GB"/>
            </w:rPr>
          </w:pPr>
          <w:hyperlink w:anchor="_Toc198879960" w:history="1">
            <w:r w:rsidRPr="00696B44">
              <w:rPr>
                <w:rStyle w:val="Hyperlink"/>
                <w:rFonts w:ascii="Arial" w:hAnsi="Arial" w:cs="Arial"/>
              </w:rPr>
              <w:t>4. Offshore wind</w:t>
            </w:r>
            <w:r>
              <w:rPr>
                <w:webHidden/>
              </w:rPr>
              <w:tab/>
            </w:r>
            <w:r>
              <w:rPr>
                <w:webHidden/>
              </w:rPr>
              <w:fldChar w:fldCharType="begin"/>
            </w:r>
            <w:r>
              <w:rPr>
                <w:webHidden/>
              </w:rPr>
              <w:instrText xml:space="preserve"> PAGEREF _Toc198879960 \h </w:instrText>
            </w:r>
            <w:r>
              <w:rPr>
                <w:webHidden/>
              </w:rPr>
            </w:r>
            <w:r>
              <w:rPr>
                <w:webHidden/>
              </w:rPr>
              <w:fldChar w:fldCharType="separate"/>
            </w:r>
            <w:r>
              <w:rPr>
                <w:webHidden/>
              </w:rPr>
              <w:t>19</w:t>
            </w:r>
            <w:r>
              <w:rPr>
                <w:webHidden/>
              </w:rPr>
              <w:fldChar w:fldCharType="end"/>
            </w:r>
          </w:hyperlink>
        </w:p>
        <w:p w14:paraId="4A27FE65" w14:textId="6D56CEF4" w:rsidR="00047978" w:rsidRDefault="00047978">
          <w:pPr>
            <w:pStyle w:val="TOC2"/>
            <w:rPr>
              <w:rFonts w:asciiTheme="minorHAnsi" w:eastAsiaTheme="minorEastAsia" w:hAnsiTheme="minorHAnsi"/>
              <w:sz w:val="24"/>
              <w:szCs w:val="24"/>
              <w:lang w:eastAsia="en-GB"/>
            </w:rPr>
          </w:pPr>
          <w:hyperlink w:anchor="_Toc198879961" w:history="1">
            <w:r w:rsidRPr="00696B44">
              <w:rPr>
                <w:rStyle w:val="Hyperlink"/>
                <w:rFonts w:ascii="Arial" w:hAnsi="Arial" w:cs="Arial"/>
              </w:rPr>
              <w:t>4.1 England</w:t>
            </w:r>
            <w:r>
              <w:rPr>
                <w:webHidden/>
              </w:rPr>
              <w:tab/>
            </w:r>
            <w:r>
              <w:rPr>
                <w:webHidden/>
              </w:rPr>
              <w:fldChar w:fldCharType="begin"/>
            </w:r>
            <w:r>
              <w:rPr>
                <w:webHidden/>
              </w:rPr>
              <w:instrText xml:space="preserve"> PAGEREF _Toc198879961 \h </w:instrText>
            </w:r>
            <w:r>
              <w:rPr>
                <w:webHidden/>
              </w:rPr>
            </w:r>
            <w:r>
              <w:rPr>
                <w:webHidden/>
              </w:rPr>
              <w:fldChar w:fldCharType="separate"/>
            </w:r>
            <w:r>
              <w:rPr>
                <w:webHidden/>
              </w:rPr>
              <w:t>19</w:t>
            </w:r>
            <w:r>
              <w:rPr>
                <w:webHidden/>
              </w:rPr>
              <w:fldChar w:fldCharType="end"/>
            </w:r>
          </w:hyperlink>
        </w:p>
        <w:p w14:paraId="7B57338B" w14:textId="0465F52F" w:rsidR="00047978" w:rsidRDefault="00047978">
          <w:pPr>
            <w:pStyle w:val="TOC2"/>
            <w:rPr>
              <w:rFonts w:asciiTheme="minorHAnsi" w:eastAsiaTheme="minorEastAsia" w:hAnsiTheme="minorHAnsi"/>
              <w:sz w:val="24"/>
              <w:szCs w:val="24"/>
              <w:lang w:eastAsia="en-GB"/>
            </w:rPr>
          </w:pPr>
          <w:hyperlink w:anchor="_Toc198879962" w:history="1">
            <w:r w:rsidRPr="00696B44">
              <w:rPr>
                <w:rStyle w:val="Hyperlink"/>
                <w:rFonts w:ascii="Arial" w:hAnsi="Arial" w:cs="Arial"/>
              </w:rPr>
              <w:t>4.2 Wales</w:t>
            </w:r>
            <w:r>
              <w:rPr>
                <w:webHidden/>
              </w:rPr>
              <w:tab/>
            </w:r>
            <w:r>
              <w:rPr>
                <w:webHidden/>
              </w:rPr>
              <w:fldChar w:fldCharType="begin"/>
            </w:r>
            <w:r>
              <w:rPr>
                <w:webHidden/>
              </w:rPr>
              <w:instrText xml:space="preserve"> PAGEREF _Toc198879962 \h </w:instrText>
            </w:r>
            <w:r>
              <w:rPr>
                <w:webHidden/>
              </w:rPr>
            </w:r>
            <w:r>
              <w:rPr>
                <w:webHidden/>
              </w:rPr>
              <w:fldChar w:fldCharType="separate"/>
            </w:r>
            <w:r>
              <w:rPr>
                <w:webHidden/>
              </w:rPr>
              <w:t>19</w:t>
            </w:r>
            <w:r>
              <w:rPr>
                <w:webHidden/>
              </w:rPr>
              <w:fldChar w:fldCharType="end"/>
            </w:r>
          </w:hyperlink>
        </w:p>
        <w:p w14:paraId="5B6146F1" w14:textId="3B199743" w:rsidR="00047978" w:rsidRDefault="00047978">
          <w:pPr>
            <w:pStyle w:val="TOC2"/>
            <w:rPr>
              <w:rFonts w:asciiTheme="minorHAnsi" w:eastAsiaTheme="minorEastAsia" w:hAnsiTheme="minorHAnsi"/>
              <w:sz w:val="24"/>
              <w:szCs w:val="24"/>
              <w:lang w:eastAsia="en-GB"/>
            </w:rPr>
          </w:pPr>
          <w:hyperlink w:anchor="_Toc198879963" w:history="1">
            <w:r w:rsidRPr="00696B44">
              <w:rPr>
                <w:rStyle w:val="Hyperlink"/>
                <w:rFonts w:ascii="Arial" w:hAnsi="Arial" w:cs="Arial"/>
              </w:rPr>
              <w:t>4.3 Scotland</w:t>
            </w:r>
            <w:r>
              <w:rPr>
                <w:webHidden/>
              </w:rPr>
              <w:tab/>
            </w:r>
            <w:r>
              <w:rPr>
                <w:webHidden/>
              </w:rPr>
              <w:fldChar w:fldCharType="begin"/>
            </w:r>
            <w:r>
              <w:rPr>
                <w:webHidden/>
              </w:rPr>
              <w:instrText xml:space="preserve"> PAGEREF _Toc198879963 \h </w:instrText>
            </w:r>
            <w:r>
              <w:rPr>
                <w:webHidden/>
              </w:rPr>
            </w:r>
            <w:r>
              <w:rPr>
                <w:webHidden/>
              </w:rPr>
              <w:fldChar w:fldCharType="separate"/>
            </w:r>
            <w:r>
              <w:rPr>
                <w:webHidden/>
              </w:rPr>
              <w:t>19</w:t>
            </w:r>
            <w:r>
              <w:rPr>
                <w:webHidden/>
              </w:rPr>
              <w:fldChar w:fldCharType="end"/>
            </w:r>
          </w:hyperlink>
        </w:p>
        <w:p w14:paraId="3DEB77AC" w14:textId="6586CB61" w:rsidR="00047978" w:rsidRDefault="00047978">
          <w:pPr>
            <w:pStyle w:val="TOC2"/>
            <w:rPr>
              <w:rFonts w:asciiTheme="minorHAnsi" w:eastAsiaTheme="minorEastAsia" w:hAnsiTheme="minorHAnsi"/>
              <w:sz w:val="24"/>
              <w:szCs w:val="24"/>
              <w:lang w:eastAsia="en-GB"/>
            </w:rPr>
          </w:pPr>
          <w:hyperlink w:anchor="_Toc198879964" w:history="1">
            <w:r w:rsidRPr="00696B44">
              <w:rPr>
                <w:rStyle w:val="Hyperlink"/>
                <w:rFonts w:ascii="Arial" w:hAnsi="Arial" w:cs="Arial"/>
              </w:rPr>
              <w:t>4.4 Northern Ireland</w:t>
            </w:r>
            <w:r>
              <w:rPr>
                <w:webHidden/>
              </w:rPr>
              <w:tab/>
            </w:r>
            <w:r>
              <w:rPr>
                <w:webHidden/>
              </w:rPr>
              <w:fldChar w:fldCharType="begin"/>
            </w:r>
            <w:r>
              <w:rPr>
                <w:webHidden/>
              </w:rPr>
              <w:instrText xml:space="preserve"> PAGEREF _Toc198879964 \h </w:instrText>
            </w:r>
            <w:r>
              <w:rPr>
                <w:webHidden/>
              </w:rPr>
            </w:r>
            <w:r>
              <w:rPr>
                <w:webHidden/>
              </w:rPr>
              <w:fldChar w:fldCharType="separate"/>
            </w:r>
            <w:r>
              <w:rPr>
                <w:webHidden/>
              </w:rPr>
              <w:t>19</w:t>
            </w:r>
            <w:r>
              <w:rPr>
                <w:webHidden/>
              </w:rPr>
              <w:fldChar w:fldCharType="end"/>
            </w:r>
          </w:hyperlink>
        </w:p>
        <w:p w14:paraId="0D5ADF73" w14:textId="4530A07E" w:rsidR="00047978" w:rsidRDefault="00047978">
          <w:pPr>
            <w:pStyle w:val="TOC2"/>
            <w:rPr>
              <w:rFonts w:asciiTheme="minorHAnsi" w:eastAsiaTheme="minorEastAsia" w:hAnsiTheme="minorHAnsi"/>
              <w:sz w:val="24"/>
              <w:szCs w:val="24"/>
              <w:lang w:eastAsia="en-GB"/>
            </w:rPr>
          </w:pPr>
          <w:hyperlink w:anchor="_Toc198879965" w:history="1">
            <w:r w:rsidRPr="00696B44">
              <w:rPr>
                <w:rStyle w:val="Hyperlink"/>
                <w:rFonts w:ascii="Arial" w:hAnsi="Arial" w:cs="Arial"/>
              </w:rPr>
              <w:t>4.5 Offshore wind case studies</w:t>
            </w:r>
            <w:r>
              <w:rPr>
                <w:webHidden/>
              </w:rPr>
              <w:tab/>
            </w:r>
            <w:r>
              <w:rPr>
                <w:webHidden/>
              </w:rPr>
              <w:fldChar w:fldCharType="begin"/>
            </w:r>
            <w:r>
              <w:rPr>
                <w:webHidden/>
              </w:rPr>
              <w:instrText xml:space="preserve"> PAGEREF _Toc198879965 \h </w:instrText>
            </w:r>
            <w:r>
              <w:rPr>
                <w:webHidden/>
              </w:rPr>
            </w:r>
            <w:r>
              <w:rPr>
                <w:webHidden/>
              </w:rPr>
              <w:fldChar w:fldCharType="separate"/>
            </w:r>
            <w:r>
              <w:rPr>
                <w:webHidden/>
              </w:rPr>
              <w:t>20</w:t>
            </w:r>
            <w:r>
              <w:rPr>
                <w:webHidden/>
              </w:rPr>
              <w:fldChar w:fldCharType="end"/>
            </w:r>
          </w:hyperlink>
        </w:p>
        <w:p w14:paraId="723AE9B5" w14:textId="04DBFCB3" w:rsidR="00047978" w:rsidRDefault="00047978">
          <w:pPr>
            <w:pStyle w:val="TOC1"/>
            <w:rPr>
              <w:rFonts w:asciiTheme="minorHAnsi" w:eastAsiaTheme="minorEastAsia" w:hAnsiTheme="minorHAnsi"/>
              <w:sz w:val="24"/>
              <w:szCs w:val="24"/>
              <w:lang w:eastAsia="en-GB"/>
            </w:rPr>
          </w:pPr>
          <w:hyperlink w:anchor="_Toc198879966" w:history="1">
            <w:r w:rsidRPr="00696B44">
              <w:rPr>
                <w:rStyle w:val="Hyperlink"/>
                <w:rFonts w:ascii="Arial" w:hAnsi="Arial" w:cs="Arial"/>
              </w:rPr>
              <w:t>5. Solar photovoltaics</w:t>
            </w:r>
            <w:r>
              <w:rPr>
                <w:webHidden/>
              </w:rPr>
              <w:tab/>
            </w:r>
            <w:r>
              <w:rPr>
                <w:webHidden/>
              </w:rPr>
              <w:fldChar w:fldCharType="begin"/>
            </w:r>
            <w:r>
              <w:rPr>
                <w:webHidden/>
              </w:rPr>
              <w:instrText xml:space="preserve"> PAGEREF _Toc198879966 \h </w:instrText>
            </w:r>
            <w:r>
              <w:rPr>
                <w:webHidden/>
              </w:rPr>
            </w:r>
            <w:r>
              <w:rPr>
                <w:webHidden/>
              </w:rPr>
              <w:fldChar w:fldCharType="separate"/>
            </w:r>
            <w:r>
              <w:rPr>
                <w:webHidden/>
              </w:rPr>
              <w:t>20</w:t>
            </w:r>
            <w:r>
              <w:rPr>
                <w:webHidden/>
              </w:rPr>
              <w:fldChar w:fldCharType="end"/>
            </w:r>
          </w:hyperlink>
        </w:p>
        <w:p w14:paraId="5924C807" w14:textId="44C3B65E" w:rsidR="00047978" w:rsidRDefault="00047978">
          <w:pPr>
            <w:pStyle w:val="TOC2"/>
            <w:rPr>
              <w:rFonts w:asciiTheme="minorHAnsi" w:eastAsiaTheme="minorEastAsia" w:hAnsiTheme="minorHAnsi"/>
              <w:sz w:val="24"/>
              <w:szCs w:val="24"/>
              <w:lang w:eastAsia="en-GB"/>
            </w:rPr>
          </w:pPr>
          <w:hyperlink w:anchor="_Toc198879967" w:history="1">
            <w:r w:rsidRPr="00696B44">
              <w:rPr>
                <w:rStyle w:val="Hyperlink"/>
                <w:rFonts w:ascii="Arial" w:hAnsi="Arial" w:cs="Arial"/>
              </w:rPr>
              <w:t>5.1 England</w:t>
            </w:r>
            <w:r>
              <w:rPr>
                <w:webHidden/>
              </w:rPr>
              <w:tab/>
            </w:r>
            <w:r>
              <w:rPr>
                <w:webHidden/>
              </w:rPr>
              <w:fldChar w:fldCharType="begin"/>
            </w:r>
            <w:r>
              <w:rPr>
                <w:webHidden/>
              </w:rPr>
              <w:instrText xml:space="preserve"> PAGEREF _Toc198879967 \h </w:instrText>
            </w:r>
            <w:r>
              <w:rPr>
                <w:webHidden/>
              </w:rPr>
            </w:r>
            <w:r>
              <w:rPr>
                <w:webHidden/>
              </w:rPr>
              <w:fldChar w:fldCharType="separate"/>
            </w:r>
            <w:r>
              <w:rPr>
                <w:webHidden/>
              </w:rPr>
              <w:t>20</w:t>
            </w:r>
            <w:r>
              <w:rPr>
                <w:webHidden/>
              </w:rPr>
              <w:fldChar w:fldCharType="end"/>
            </w:r>
          </w:hyperlink>
        </w:p>
        <w:p w14:paraId="731A975F" w14:textId="6D60667B" w:rsidR="00047978" w:rsidRDefault="00047978">
          <w:pPr>
            <w:pStyle w:val="TOC2"/>
            <w:rPr>
              <w:rFonts w:asciiTheme="minorHAnsi" w:eastAsiaTheme="minorEastAsia" w:hAnsiTheme="minorHAnsi"/>
              <w:sz w:val="24"/>
              <w:szCs w:val="24"/>
              <w:lang w:eastAsia="en-GB"/>
            </w:rPr>
          </w:pPr>
          <w:hyperlink w:anchor="_Toc198879968" w:history="1">
            <w:r w:rsidRPr="00696B44">
              <w:rPr>
                <w:rStyle w:val="Hyperlink"/>
                <w:rFonts w:ascii="Arial" w:hAnsi="Arial" w:cs="Arial"/>
              </w:rPr>
              <w:t>5.2 Wales</w:t>
            </w:r>
            <w:r>
              <w:rPr>
                <w:webHidden/>
              </w:rPr>
              <w:tab/>
            </w:r>
            <w:r>
              <w:rPr>
                <w:webHidden/>
              </w:rPr>
              <w:fldChar w:fldCharType="begin"/>
            </w:r>
            <w:r>
              <w:rPr>
                <w:webHidden/>
              </w:rPr>
              <w:instrText xml:space="preserve"> PAGEREF _Toc198879968 \h </w:instrText>
            </w:r>
            <w:r>
              <w:rPr>
                <w:webHidden/>
              </w:rPr>
            </w:r>
            <w:r>
              <w:rPr>
                <w:webHidden/>
              </w:rPr>
              <w:fldChar w:fldCharType="separate"/>
            </w:r>
            <w:r>
              <w:rPr>
                <w:webHidden/>
              </w:rPr>
              <w:t>21</w:t>
            </w:r>
            <w:r>
              <w:rPr>
                <w:webHidden/>
              </w:rPr>
              <w:fldChar w:fldCharType="end"/>
            </w:r>
          </w:hyperlink>
        </w:p>
        <w:p w14:paraId="5E2E07C1" w14:textId="30C105A4" w:rsidR="00047978" w:rsidRDefault="00047978">
          <w:pPr>
            <w:pStyle w:val="TOC2"/>
            <w:rPr>
              <w:rFonts w:asciiTheme="minorHAnsi" w:eastAsiaTheme="minorEastAsia" w:hAnsiTheme="minorHAnsi"/>
              <w:sz w:val="24"/>
              <w:szCs w:val="24"/>
              <w:lang w:eastAsia="en-GB"/>
            </w:rPr>
          </w:pPr>
          <w:hyperlink w:anchor="_Toc198879969" w:history="1">
            <w:r w:rsidRPr="00696B44">
              <w:rPr>
                <w:rStyle w:val="Hyperlink"/>
                <w:rFonts w:ascii="Arial" w:hAnsi="Arial" w:cs="Arial"/>
              </w:rPr>
              <w:t>5.3 Scotland</w:t>
            </w:r>
            <w:r>
              <w:rPr>
                <w:webHidden/>
              </w:rPr>
              <w:tab/>
            </w:r>
            <w:r>
              <w:rPr>
                <w:webHidden/>
              </w:rPr>
              <w:fldChar w:fldCharType="begin"/>
            </w:r>
            <w:r>
              <w:rPr>
                <w:webHidden/>
              </w:rPr>
              <w:instrText xml:space="preserve"> PAGEREF _Toc198879969 \h </w:instrText>
            </w:r>
            <w:r>
              <w:rPr>
                <w:webHidden/>
              </w:rPr>
            </w:r>
            <w:r>
              <w:rPr>
                <w:webHidden/>
              </w:rPr>
              <w:fldChar w:fldCharType="separate"/>
            </w:r>
            <w:r>
              <w:rPr>
                <w:webHidden/>
              </w:rPr>
              <w:t>22</w:t>
            </w:r>
            <w:r>
              <w:rPr>
                <w:webHidden/>
              </w:rPr>
              <w:fldChar w:fldCharType="end"/>
            </w:r>
          </w:hyperlink>
        </w:p>
        <w:p w14:paraId="26EC54DA" w14:textId="1F8E1BDB" w:rsidR="00047978" w:rsidRDefault="00047978">
          <w:pPr>
            <w:pStyle w:val="TOC2"/>
            <w:rPr>
              <w:rFonts w:asciiTheme="minorHAnsi" w:eastAsiaTheme="minorEastAsia" w:hAnsiTheme="minorHAnsi"/>
              <w:sz w:val="24"/>
              <w:szCs w:val="24"/>
              <w:lang w:eastAsia="en-GB"/>
            </w:rPr>
          </w:pPr>
          <w:hyperlink w:anchor="_Toc198879970" w:history="1">
            <w:r w:rsidRPr="00696B44">
              <w:rPr>
                <w:rStyle w:val="Hyperlink"/>
                <w:rFonts w:ascii="Arial" w:hAnsi="Arial" w:cs="Arial"/>
              </w:rPr>
              <w:t>5.4 Northern Ireland</w:t>
            </w:r>
            <w:r>
              <w:rPr>
                <w:webHidden/>
              </w:rPr>
              <w:tab/>
            </w:r>
            <w:r>
              <w:rPr>
                <w:webHidden/>
              </w:rPr>
              <w:fldChar w:fldCharType="begin"/>
            </w:r>
            <w:r>
              <w:rPr>
                <w:webHidden/>
              </w:rPr>
              <w:instrText xml:space="preserve"> PAGEREF _Toc198879970 \h </w:instrText>
            </w:r>
            <w:r>
              <w:rPr>
                <w:webHidden/>
              </w:rPr>
            </w:r>
            <w:r>
              <w:rPr>
                <w:webHidden/>
              </w:rPr>
              <w:fldChar w:fldCharType="separate"/>
            </w:r>
            <w:r>
              <w:rPr>
                <w:webHidden/>
              </w:rPr>
              <w:t>22</w:t>
            </w:r>
            <w:r>
              <w:rPr>
                <w:webHidden/>
              </w:rPr>
              <w:fldChar w:fldCharType="end"/>
            </w:r>
          </w:hyperlink>
        </w:p>
        <w:p w14:paraId="537FEB96" w14:textId="1DCF9DC0" w:rsidR="00047978" w:rsidRDefault="00047978">
          <w:pPr>
            <w:pStyle w:val="TOC1"/>
            <w:rPr>
              <w:rFonts w:asciiTheme="minorHAnsi" w:eastAsiaTheme="minorEastAsia" w:hAnsiTheme="minorHAnsi"/>
              <w:sz w:val="24"/>
              <w:szCs w:val="24"/>
              <w:lang w:eastAsia="en-GB"/>
            </w:rPr>
          </w:pPr>
          <w:hyperlink w:anchor="_Toc198879971" w:history="1">
            <w:r w:rsidRPr="00696B44">
              <w:rPr>
                <w:rStyle w:val="Hyperlink"/>
                <w:rFonts w:ascii="Arial" w:hAnsi="Arial" w:cs="Arial"/>
              </w:rPr>
              <w:t>6. Battery Energy Storage Systems (BESS)</w:t>
            </w:r>
            <w:r>
              <w:rPr>
                <w:webHidden/>
              </w:rPr>
              <w:tab/>
            </w:r>
            <w:r>
              <w:rPr>
                <w:webHidden/>
              </w:rPr>
              <w:fldChar w:fldCharType="begin"/>
            </w:r>
            <w:r>
              <w:rPr>
                <w:webHidden/>
              </w:rPr>
              <w:instrText xml:space="preserve"> PAGEREF _Toc198879971 \h </w:instrText>
            </w:r>
            <w:r>
              <w:rPr>
                <w:webHidden/>
              </w:rPr>
            </w:r>
            <w:r>
              <w:rPr>
                <w:webHidden/>
              </w:rPr>
              <w:fldChar w:fldCharType="separate"/>
            </w:r>
            <w:r>
              <w:rPr>
                <w:webHidden/>
              </w:rPr>
              <w:t>22</w:t>
            </w:r>
            <w:r>
              <w:rPr>
                <w:webHidden/>
              </w:rPr>
              <w:fldChar w:fldCharType="end"/>
            </w:r>
          </w:hyperlink>
        </w:p>
        <w:p w14:paraId="6D7DC2C4" w14:textId="3DC9255B" w:rsidR="00047978" w:rsidRDefault="00047978">
          <w:pPr>
            <w:pStyle w:val="TOC2"/>
            <w:rPr>
              <w:rFonts w:asciiTheme="minorHAnsi" w:eastAsiaTheme="minorEastAsia" w:hAnsiTheme="minorHAnsi"/>
              <w:sz w:val="24"/>
              <w:szCs w:val="24"/>
              <w:lang w:eastAsia="en-GB"/>
            </w:rPr>
          </w:pPr>
          <w:hyperlink w:anchor="_Toc198879972" w:history="1">
            <w:r w:rsidRPr="00696B44">
              <w:rPr>
                <w:rStyle w:val="Hyperlink"/>
                <w:rFonts w:ascii="Arial" w:hAnsi="Arial" w:cs="Arial"/>
              </w:rPr>
              <w:t>6.1 UK-wide guidance</w:t>
            </w:r>
            <w:r>
              <w:rPr>
                <w:webHidden/>
              </w:rPr>
              <w:tab/>
            </w:r>
            <w:r>
              <w:rPr>
                <w:webHidden/>
              </w:rPr>
              <w:fldChar w:fldCharType="begin"/>
            </w:r>
            <w:r>
              <w:rPr>
                <w:webHidden/>
              </w:rPr>
              <w:instrText xml:space="preserve"> PAGEREF _Toc198879972 \h </w:instrText>
            </w:r>
            <w:r>
              <w:rPr>
                <w:webHidden/>
              </w:rPr>
            </w:r>
            <w:r>
              <w:rPr>
                <w:webHidden/>
              </w:rPr>
              <w:fldChar w:fldCharType="separate"/>
            </w:r>
            <w:r>
              <w:rPr>
                <w:webHidden/>
              </w:rPr>
              <w:t>22</w:t>
            </w:r>
            <w:r>
              <w:rPr>
                <w:webHidden/>
              </w:rPr>
              <w:fldChar w:fldCharType="end"/>
            </w:r>
          </w:hyperlink>
        </w:p>
        <w:p w14:paraId="0CA5BAEA" w14:textId="4DA14BFF" w:rsidR="00047978" w:rsidRDefault="00047978">
          <w:pPr>
            <w:pStyle w:val="TOC2"/>
            <w:rPr>
              <w:rFonts w:asciiTheme="minorHAnsi" w:eastAsiaTheme="minorEastAsia" w:hAnsiTheme="minorHAnsi"/>
              <w:sz w:val="24"/>
              <w:szCs w:val="24"/>
              <w:lang w:eastAsia="en-GB"/>
            </w:rPr>
          </w:pPr>
          <w:hyperlink w:anchor="_Toc198879973" w:history="1">
            <w:r w:rsidRPr="00696B44">
              <w:rPr>
                <w:rStyle w:val="Hyperlink"/>
                <w:rFonts w:ascii="Arial" w:hAnsi="Arial" w:cs="Arial"/>
              </w:rPr>
              <w:t>6.2 Advice from the four nations</w:t>
            </w:r>
            <w:r>
              <w:rPr>
                <w:webHidden/>
              </w:rPr>
              <w:tab/>
            </w:r>
            <w:r>
              <w:rPr>
                <w:webHidden/>
              </w:rPr>
              <w:fldChar w:fldCharType="begin"/>
            </w:r>
            <w:r>
              <w:rPr>
                <w:webHidden/>
              </w:rPr>
              <w:instrText xml:space="preserve"> PAGEREF _Toc198879973 \h </w:instrText>
            </w:r>
            <w:r>
              <w:rPr>
                <w:webHidden/>
              </w:rPr>
            </w:r>
            <w:r>
              <w:rPr>
                <w:webHidden/>
              </w:rPr>
              <w:fldChar w:fldCharType="separate"/>
            </w:r>
            <w:r>
              <w:rPr>
                <w:webHidden/>
              </w:rPr>
              <w:t>24</w:t>
            </w:r>
            <w:r>
              <w:rPr>
                <w:webHidden/>
              </w:rPr>
              <w:fldChar w:fldCharType="end"/>
            </w:r>
          </w:hyperlink>
        </w:p>
        <w:p w14:paraId="4D005117" w14:textId="239F5E91" w:rsidR="00047978" w:rsidRDefault="00047978">
          <w:pPr>
            <w:pStyle w:val="TOC1"/>
            <w:rPr>
              <w:rFonts w:asciiTheme="minorHAnsi" w:eastAsiaTheme="minorEastAsia" w:hAnsiTheme="minorHAnsi"/>
              <w:sz w:val="24"/>
              <w:szCs w:val="24"/>
              <w:lang w:eastAsia="en-GB"/>
            </w:rPr>
          </w:pPr>
          <w:hyperlink w:anchor="_Toc198879974" w:history="1">
            <w:r w:rsidRPr="00696B44">
              <w:rPr>
                <w:rStyle w:val="Hyperlink"/>
                <w:rFonts w:ascii="Arial" w:hAnsi="Arial" w:cs="Arial"/>
              </w:rPr>
              <w:t>7. Hydropower</w:t>
            </w:r>
            <w:r>
              <w:rPr>
                <w:webHidden/>
              </w:rPr>
              <w:tab/>
            </w:r>
            <w:r>
              <w:rPr>
                <w:webHidden/>
              </w:rPr>
              <w:fldChar w:fldCharType="begin"/>
            </w:r>
            <w:r>
              <w:rPr>
                <w:webHidden/>
              </w:rPr>
              <w:instrText xml:space="preserve"> PAGEREF _Toc198879974 \h </w:instrText>
            </w:r>
            <w:r>
              <w:rPr>
                <w:webHidden/>
              </w:rPr>
            </w:r>
            <w:r>
              <w:rPr>
                <w:webHidden/>
              </w:rPr>
              <w:fldChar w:fldCharType="separate"/>
            </w:r>
            <w:r>
              <w:rPr>
                <w:webHidden/>
              </w:rPr>
              <w:t>24</w:t>
            </w:r>
            <w:r>
              <w:rPr>
                <w:webHidden/>
              </w:rPr>
              <w:fldChar w:fldCharType="end"/>
            </w:r>
          </w:hyperlink>
        </w:p>
        <w:p w14:paraId="2033AE08" w14:textId="557B0D4E" w:rsidR="00047978" w:rsidRDefault="00047978">
          <w:pPr>
            <w:pStyle w:val="TOC2"/>
            <w:rPr>
              <w:rFonts w:asciiTheme="minorHAnsi" w:eastAsiaTheme="minorEastAsia" w:hAnsiTheme="minorHAnsi"/>
              <w:sz w:val="24"/>
              <w:szCs w:val="24"/>
              <w:lang w:eastAsia="en-GB"/>
            </w:rPr>
          </w:pPr>
          <w:hyperlink w:anchor="_Toc198879975" w:history="1">
            <w:r w:rsidRPr="00696B44">
              <w:rPr>
                <w:rStyle w:val="Hyperlink"/>
                <w:rFonts w:ascii="Arial" w:hAnsi="Arial" w:cs="Arial"/>
              </w:rPr>
              <w:t>7.1 England</w:t>
            </w:r>
            <w:r>
              <w:rPr>
                <w:webHidden/>
              </w:rPr>
              <w:tab/>
            </w:r>
            <w:r>
              <w:rPr>
                <w:webHidden/>
              </w:rPr>
              <w:fldChar w:fldCharType="begin"/>
            </w:r>
            <w:r>
              <w:rPr>
                <w:webHidden/>
              </w:rPr>
              <w:instrText xml:space="preserve"> PAGEREF _Toc198879975 \h </w:instrText>
            </w:r>
            <w:r>
              <w:rPr>
                <w:webHidden/>
              </w:rPr>
            </w:r>
            <w:r>
              <w:rPr>
                <w:webHidden/>
              </w:rPr>
              <w:fldChar w:fldCharType="separate"/>
            </w:r>
            <w:r>
              <w:rPr>
                <w:webHidden/>
              </w:rPr>
              <w:t>24</w:t>
            </w:r>
            <w:r>
              <w:rPr>
                <w:webHidden/>
              </w:rPr>
              <w:fldChar w:fldCharType="end"/>
            </w:r>
          </w:hyperlink>
        </w:p>
        <w:p w14:paraId="79A8381A" w14:textId="0D5BFD4F" w:rsidR="00047978" w:rsidRDefault="00047978">
          <w:pPr>
            <w:pStyle w:val="TOC2"/>
            <w:rPr>
              <w:rFonts w:asciiTheme="minorHAnsi" w:eastAsiaTheme="minorEastAsia" w:hAnsiTheme="minorHAnsi"/>
              <w:sz w:val="24"/>
              <w:szCs w:val="24"/>
              <w:lang w:eastAsia="en-GB"/>
            </w:rPr>
          </w:pPr>
          <w:hyperlink w:anchor="_Toc198879976" w:history="1">
            <w:r w:rsidRPr="00696B44">
              <w:rPr>
                <w:rStyle w:val="Hyperlink"/>
                <w:rFonts w:ascii="Arial" w:hAnsi="Arial" w:cs="Arial"/>
              </w:rPr>
              <w:t>7.2 Wales</w:t>
            </w:r>
            <w:r>
              <w:rPr>
                <w:webHidden/>
              </w:rPr>
              <w:tab/>
            </w:r>
            <w:r>
              <w:rPr>
                <w:webHidden/>
              </w:rPr>
              <w:fldChar w:fldCharType="begin"/>
            </w:r>
            <w:r>
              <w:rPr>
                <w:webHidden/>
              </w:rPr>
              <w:instrText xml:space="preserve"> PAGEREF _Toc198879976 \h </w:instrText>
            </w:r>
            <w:r>
              <w:rPr>
                <w:webHidden/>
              </w:rPr>
            </w:r>
            <w:r>
              <w:rPr>
                <w:webHidden/>
              </w:rPr>
              <w:fldChar w:fldCharType="separate"/>
            </w:r>
            <w:r>
              <w:rPr>
                <w:webHidden/>
              </w:rPr>
              <w:t>25</w:t>
            </w:r>
            <w:r>
              <w:rPr>
                <w:webHidden/>
              </w:rPr>
              <w:fldChar w:fldCharType="end"/>
            </w:r>
          </w:hyperlink>
        </w:p>
        <w:p w14:paraId="457D3D6C" w14:textId="3CC20B80" w:rsidR="00047978" w:rsidRDefault="00047978">
          <w:pPr>
            <w:pStyle w:val="TOC2"/>
            <w:rPr>
              <w:rFonts w:asciiTheme="minorHAnsi" w:eastAsiaTheme="minorEastAsia" w:hAnsiTheme="minorHAnsi"/>
              <w:sz w:val="24"/>
              <w:szCs w:val="24"/>
              <w:lang w:eastAsia="en-GB"/>
            </w:rPr>
          </w:pPr>
          <w:hyperlink w:anchor="_Toc198879977" w:history="1">
            <w:r w:rsidRPr="00696B44">
              <w:rPr>
                <w:rStyle w:val="Hyperlink"/>
                <w:rFonts w:ascii="Arial" w:hAnsi="Arial" w:cs="Arial"/>
              </w:rPr>
              <w:t>7.3 Scotland</w:t>
            </w:r>
            <w:r>
              <w:rPr>
                <w:webHidden/>
              </w:rPr>
              <w:tab/>
            </w:r>
            <w:r>
              <w:rPr>
                <w:webHidden/>
              </w:rPr>
              <w:fldChar w:fldCharType="begin"/>
            </w:r>
            <w:r>
              <w:rPr>
                <w:webHidden/>
              </w:rPr>
              <w:instrText xml:space="preserve"> PAGEREF _Toc198879977 \h </w:instrText>
            </w:r>
            <w:r>
              <w:rPr>
                <w:webHidden/>
              </w:rPr>
            </w:r>
            <w:r>
              <w:rPr>
                <w:webHidden/>
              </w:rPr>
              <w:fldChar w:fldCharType="separate"/>
            </w:r>
            <w:r>
              <w:rPr>
                <w:webHidden/>
              </w:rPr>
              <w:t>26</w:t>
            </w:r>
            <w:r>
              <w:rPr>
                <w:webHidden/>
              </w:rPr>
              <w:fldChar w:fldCharType="end"/>
            </w:r>
          </w:hyperlink>
        </w:p>
        <w:p w14:paraId="70AA3B5D" w14:textId="42BA6AC4" w:rsidR="00047978" w:rsidRDefault="00047978">
          <w:pPr>
            <w:pStyle w:val="TOC2"/>
            <w:rPr>
              <w:rFonts w:asciiTheme="minorHAnsi" w:eastAsiaTheme="minorEastAsia" w:hAnsiTheme="minorHAnsi"/>
              <w:sz w:val="24"/>
              <w:szCs w:val="24"/>
              <w:lang w:eastAsia="en-GB"/>
            </w:rPr>
          </w:pPr>
          <w:hyperlink w:anchor="_Toc198879978" w:history="1">
            <w:r w:rsidRPr="00696B44">
              <w:rPr>
                <w:rStyle w:val="Hyperlink"/>
                <w:rFonts w:ascii="Arial" w:hAnsi="Arial" w:cs="Arial"/>
              </w:rPr>
              <w:t>7.4 Northern Ireland</w:t>
            </w:r>
            <w:r>
              <w:rPr>
                <w:webHidden/>
              </w:rPr>
              <w:tab/>
            </w:r>
            <w:r>
              <w:rPr>
                <w:webHidden/>
              </w:rPr>
              <w:fldChar w:fldCharType="begin"/>
            </w:r>
            <w:r>
              <w:rPr>
                <w:webHidden/>
              </w:rPr>
              <w:instrText xml:space="preserve"> PAGEREF _Toc198879978 \h </w:instrText>
            </w:r>
            <w:r>
              <w:rPr>
                <w:webHidden/>
              </w:rPr>
            </w:r>
            <w:r>
              <w:rPr>
                <w:webHidden/>
              </w:rPr>
              <w:fldChar w:fldCharType="separate"/>
            </w:r>
            <w:r>
              <w:rPr>
                <w:webHidden/>
              </w:rPr>
              <w:t>26</w:t>
            </w:r>
            <w:r>
              <w:rPr>
                <w:webHidden/>
              </w:rPr>
              <w:fldChar w:fldCharType="end"/>
            </w:r>
          </w:hyperlink>
        </w:p>
        <w:p w14:paraId="4DB4448A" w14:textId="5C977F50" w:rsidR="00047978" w:rsidRDefault="00047978">
          <w:pPr>
            <w:pStyle w:val="TOC1"/>
            <w:rPr>
              <w:rFonts w:asciiTheme="minorHAnsi" w:eastAsiaTheme="minorEastAsia" w:hAnsiTheme="minorHAnsi"/>
              <w:sz w:val="24"/>
              <w:szCs w:val="24"/>
              <w:lang w:eastAsia="en-GB"/>
            </w:rPr>
          </w:pPr>
          <w:hyperlink w:anchor="_Toc198879979" w:history="1">
            <w:r w:rsidRPr="00696B44">
              <w:rPr>
                <w:rStyle w:val="Hyperlink"/>
                <w:rFonts w:ascii="Arial" w:hAnsi="Arial" w:cs="Arial"/>
              </w:rPr>
              <w:t>8. Tidal</w:t>
            </w:r>
            <w:r>
              <w:rPr>
                <w:webHidden/>
              </w:rPr>
              <w:tab/>
            </w:r>
            <w:r>
              <w:rPr>
                <w:webHidden/>
              </w:rPr>
              <w:fldChar w:fldCharType="begin"/>
            </w:r>
            <w:r>
              <w:rPr>
                <w:webHidden/>
              </w:rPr>
              <w:instrText xml:space="preserve"> PAGEREF _Toc198879979 \h </w:instrText>
            </w:r>
            <w:r>
              <w:rPr>
                <w:webHidden/>
              </w:rPr>
            </w:r>
            <w:r>
              <w:rPr>
                <w:webHidden/>
              </w:rPr>
              <w:fldChar w:fldCharType="separate"/>
            </w:r>
            <w:r>
              <w:rPr>
                <w:webHidden/>
              </w:rPr>
              <w:t>27</w:t>
            </w:r>
            <w:r>
              <w:rPr>
                <w:webHidden/>
              </w:rPr>
              <w:fldChar w:fldCharType="end"/>
            </w:r>
          </w:hyperlink>
        </w:p>
        <w:p w14:paraId="17B62F63" w14:textId="0B3C4033" w:rsidR="00047978" w:rsidRDefault="00047978">
          <w:pPr>
            <w:pStyle w:val="TOC2"/>
            <w:rPr>
              <w:rFonts w:asciiTheme="minorHAnsi" w:eastAsiaTheme="minorEastAsia" w:hAnsiTheme="minorHAnsi"/>
              <w:sz w:val="24"/>
              <w:szCs w:val="24"/>
              <w:lang w:eastAsia="en-GB"/>
            </w:rPr>
          </w:pPr>
          <w:hyperlink w:anchor="_Toc198879980" w:history="1">
            <w:r w:rsidRPr="00696B44">
              <w:rPr>
                <w:rStyle w:val="Hyperlink"/>
                <w:rFonts w:ascii="Arial" w:hAnsi="Arial" w:cs="Arial"/>
              </w:rPr>
              <w:t>8.1 England</w:t>
            </w:r>
            <w:r>
              <w:rPr>
                <w:webHidden/>
              </w:rPr>
              <w:tab/>
            </w:r>
            <w:r>
              <w:rPr>
                <w:webHidden/>
              </w:rPr>
              <w:fldChar w:fldCharType="begin"/>
            </w:r>
            <w:r>
              <w:rPr>
                <w:webHidden/>
              </w:rPr>
              <w:instrText xml:space="preserve"> PAGEREF _Toc198879980 \h </w:instrText>
            </w:r>
            <w:r>
              <w:rPr>
                <w:webHidden/>
              </w:rPr>
            </w:r>
            <w:r>
              <w:rPr>
                <w:webHidden/>
              </w:rPr>
              <w:fldChar w:fldCharType="separate"/>
            </w:r>
            <w:r>
              <w:rPr>
                <w:webHidden/>
              </w:rPr>
              <w:t>27</w:t>
            </w:r>
            <w:r>
              <w:rPr>
                <w:webHidden/>
              </w:rPr>
              <w:fldChar w:fldCharType="end"/>
            </w:r>
          </w:hyperlink>
        </w:p>
        <w:p w14:paraId="4344A6DB" w14:textId="5F735131" w:rsidR="00047978" w:rsidRDefault="00047978">
          <w:pPr>
            <w:pStyle w:val="TOC2"/>
            <w:rPr>
              <w:rFonts w:asciiTheme="minorHAnsi" w:eastAsiaTheme="minorEastAsia" w:hAnsiTheme="minorHAnsi"/>
              <w:sz w:val="24"/>
              <w:szCs w:val="24"/>
              <w:lang w:eastAsia="en-GB"/>
            </w:rPr>
          </w:pPr>
          <w:hyperlink w:anchor="_Toc198879981" w:history="1">
            <w:r w:rsidRPr="00696B44">
              <w:rPr>
                <w:rStyle w:val="Hyperlink"/>
                <w:rFonts w:ascii="Arial" w:hAnsi="Arial" w:cs="Arial"/>
              </w:rPr>
              <w:t>8.2 Wales</w:t>
            </w:r>
            <w:r>
              <w:rPr>
                <w:webHidden/>
              </w:rPr>
              <w:tab/>
            </w:r>
            <w:r>
              <w:rPr>
                <w:webHidden/>
              </w:rPr>
              <w:fldChar w:fldCharType="begin"/>
            </w:r>
            <w:r>
              <w:rPr>
                <w:webHidden/>
              </w:rPr>
              <w:instrText xml:space="preserve"> PAGEREF _Toc198879981 \h </w:instrText>
            </w:r>
            <w:r>
              <w:rPr>
                <w:webHidden/>
              </w:rPr>
            </w:r>
            <w:r>
              <w:rPr>
                <w:webHidden/>
              </w:rPr>
              <w:fldChar w:fldCharType="separate"/>
            </w:r>
            <w:r>
              <w:rPr>
                <w:webHidden/>
              </w:rPr>
              <w:t>27</w:t>
            </w:r>
            <w:r>
              <w:rPr>
                <w:webHidden/>
              </w:rPr>
              <w:fldChar w:fldCharType="end"/>
            </w:r>
          </w:hyperlink>
        </w:p>
        <w:p w14:paraId="3BC1FABF" w14:textId="625B7B40" w:rsidR="00047978" w:rsidRDefault="00047978">
          <w:pPr>
            <w:pStyle w:val="TOC2"/>
            <w:rPr>
              <w:rFonts w:asciiTheme="minorHAnsi" w:eastAsiaTheme="minorEastAsia" w:hAnsiTheme="minorHAnsi"/>
              <w:sz w:val="24"/>
              <w:szCs w:val="24"/>
              <w:lang w:eastAsia="en-GB"/>
            </w:rPr>
          </w:pPr>
          <w:hyperlink w:anchor="_Toc198879982" w:history="1">
            <w:r w:rsidRPr="00696B44">
              <w:rPr>
                <w:rStyle w:val="Hyperlink"/>
                <w:rFonts w:ascii="Arial" w:hAnsi="Arial" w:cs="Arial"/>
              </w:rPr>
              <w:t>8.3 Scotland</w:t>
            </w:r>
            <w:r>
              <w:rPr>
                <w:webHidden/>
              </w:rPr>
              <w:tab/>
            </w:r>
            <w:r>
              <w:rPr>
                <w:webHidden/>
              </w:rPr>
              <w:fldChar w:fldCharType="begin"/>
            </w:r>
            <w:r>
              <w:rPr>
                <w:webHidden/>
              </w:rPr>
              <w:instrText xml:space="preserve"> PAGEREF _Toc198879982 \h </w:instrText>
            </w:r>
            <w:r>
              <w:rPr>
                <w:webHidden/>
              </w:rPr>
            </w:r>
            <w:r>
              <w:rPr>
                <w:webHidden/>
              </w:rPr>
              <w:fldChar w:fldCharType="separate"/>
            </w:r>
            <w:r>
              <w:rPr>
                <w:webHidden/>
              </w:rPr>
              <w:t>28</w:t>
            </w:r>
            <w:r>
              <w:rPr>
                <w:webHidden/>
              </w:rPr>
              <w:fldChar w:fldCharType="end"/>
            </w:r>
          </w:hyperlink>
        </w:p>
        <w:p w14:paraId="1BBD4D67" w14:textId="1C0016F2" w:rsidR="00047978" w:rsidRDefault="00047978">
          <w:pPr>
            <w:pStyle w:val="TOC2"/>
            <w:rPr>
              <w:rFonts w:asciiTheme="minorHAnsi" w:eastAsiaTheme="minorEastAsia" w:hAnsiTheme="minorHAnsi"/>
              <w:sz w:val="24"/>
              <w:szCs w:val="24"/>
              <w:lang w:eastAsia="en-GB"/>
            </w:rPr>
          </w:pPr>
          <w:hyperlink w:anchor="_Toc198879983" w:history="1">
            <w:r w:rsidRPr="00696B44">
              <w:rPr>
                <w:rStyle w:val="Hyperlink"/>
                <w:rFonts w:ascii="Arial" w:hAnsi="Arial" w:cs="Arial"/>
              </w:rPr>
              <w:t>8.4 Northern Ireland</w:t>
            </w:r>
            <w:r>
              <w:rPr>
                <w:webHidden/>
              </w:rPr>
              <w:tab/>
            </w:r>
            <w:r>
              <w:rPr>
                <w:webHidden/>
              </w:rPr>
              <w:fldChar w:fldCharType="begin"/>
            </w:r>
            <w:r>
              <w:rPr>
                <w:webHidden/>
              </w:rPr>
              <w:instrText xml:space="preserve"> PAGEREF _Toc198879983 \h </w:instrText>
            </w:r>
            <w:r>
              <w:rPr>
                <w:webHidden/>
              </w:rPr>
            </w:r>
            <w:r>
              <w:rPr>
                <w:webHidden/>
              </w:rPr>
              <w:fldChar w:fldCharType="separate"/>
            </w:r>
            <w:r>
              <w:rPr>
                <w:webHidden/>
              </w:rPr>
              <w:t>28</w:t>
            </w:r>
            <w:r>
              <w:rPr>
                <w:webHidden/>
              </w:rPr>
              <w:fldChar w:fldCharType="end"/>
            </w:r>
          </w:hyperlink>
        </w:p>
        <w:p w14:paraId="484F1DFE" w14:textId="7684305B" w:rsidR="00047978" w:rsidRDefault="00047978">
          <w:pPr>
            <w:pStyle w:val="TOC2"/>
            <w:rPr>
              <w:rFonts w:asciiTheme="minorHAnsi" w:eastAsiaTheme="minorEastAsia" w:hAnsiTheme="minorHAnsi"/>
              <w:sz w:val="24"/>
              <w:szCs w:val="24"/>
              <w:lang w:eastAsia="en-GB"/>
            </w:rPr>
          </w:pPr>
          <w:hyperlink w:anchor="_Toc198879984" w:history="1">
            <w:r w:rsidRPr="00696B44">
              <w:rPr>
                <w:rStyle w:val="Hyperlink"/>
                <w:rFonts w:ascii="Arial" w:hAnsi="Arial" w:cs="Arial"/>
              </w:rPr>
              <w:t>8.5 Tidal energy Case studies</w:t>
            </w:r>
            <w:r>
              <w:rPr>
                <w:webHidden/>
              </w:rPr>
              <w:tab/>
            </w:r>
            <w:r>
              <w:rPr>
                <w:webHidden/>
              </w:rPr>
              <w:fldChar w:fldCharType="begin"/>
            </w:r>
            <w:r>
              <w:rPr>
                <w:webHidden/>
              </w:rPr>
              <w:instrText xml:space="preserve"> PAGEREF _Toc198879984 \h </w:instrText>
            </w:r>
            <w:r>
              <w:rPr>
                <w:webHidden/>
              </w:rPr>
            </w:r>
            <w:r>
              <w:rPr>
                <w:webHidden/>
              </w:rPr>
              <w:fldChar w:fldCharType="separate"/>
            </w:r>
            <w:r>
              <w:rPr>
                <w:webHidden/>
              </w:rPr>
              <w:t>28</w:t>
            </w:r>
            <w:r>
              <w:rPr>
                <w:webHidden/>
              </w:rPr>
              <w:fldChar w:fldCharType="end"/>
            </w:r>
          </w:hyperlink>
        </w:p>
        <w:p w14:paraId="1E3E6E3F" w14:textId="55677A10" w:rsidR="00047978" w:rsidRDefault="00047978">
          <w:pPr>
            <w:pStyle w:val="TOC1"/>
            <w:rPr>
              <w:rFonts w:asciiTheme="minorHAnsi" w:eastAsiaTheme="minorEastAsia" w:hAnsiTheme="minorHAnsi"/>
              <w:sz w:val="24"/>
              <w:szCs w:val="24"/>
              <w:lang w:eastAsia="en-GB"/>
            </w:rPr>
          </w:pPr>
          <w:hyperlink w:anchor="_Toc198879985" w:history="1">
            <w:r w:rsidRPr="00696B44">
              <w:rPr>
                <w:rStyle w:val="Hyperlink"/>
                <w:rFonts w:ascii="Arial" w:hAnsi="Arial" w:cs="Arial"/>
              </w:rPr>
              <w:t>9. Hydrogen</w:t>
            </w:r>
            <w:r>
              <w:rPr>
                <w:webHidden/>
              </w:rPr>
              <w:tab/>
            </w:r>
            <w:r>
              <w:rPr>
                <w:webHidden/>
              </w:rPr>
              <w:fldChar w:fldCharType="begin"/>
            </w:r>
            <w:r>
              <w:rPr>
                <w:webHidden/>
              </w:rPr>
              <w:instrText xml:space="preserve"> PAGEREF _Toc198879985 \h </w:instrText>
            </w:r>
            <w:r>
              <w:rPr>
                <w:webHidden/>
              </w:rPr>
            </w:r>
            <w:r>
              <w:rPr>
                <w:webHidden/>
              </w:rPr>
              <w:fldChar w:fldCharType="separate"/>
            </w:r>
            <w:r>
              <w:rPr>
                <w:webHidden/>
              </w:rPr>
              <w:t>28</w:t>
            </w:r>
            <w:r>
              <w:rPr>
                <w:webHidden/>
              </w:rPr>
              <w:fldChar w:fldCharType="end"/>
            </w:r>
          </w:hyperlink>
        </w:p>
        <w:p w14:paraId="5C18199D" w14:textId="38D838B8" w:rsidR="00047978" w:rsidRDefault="00047978">
          <w:pPr>
            <w:pStyle w:val="TOC2"/>
            <w:rPr>
              <w:rFonts w:asciiTheme="minorHAnsi" w:eastAsiaTheme="minorEastAsia" w:hAnsiTheme="minorHAnsi"/>
              <w:sz w:val="24"/>
              <w:szCs w:val="24"/>
              <w:lang w:eastAsia="en-GB"/>
            </w:rPr>
          </w:pPr>
          <w:hyperlink w:anchor="_Toc198879986" w:history="1">
            <w:r w:rsidRPr="00696B44">
              <w:rPr>
                <w:rStyle w:val="Hyperlink"/>
                <w:rFonts w:ascii="Arial" w:hAnsi="Arial" w:cs="Arial"/>
              </w:rPr>
              <w:t>9.1 UK-wide guidance</w:t>
            </w:r>
            <w:r>
              <w:rPr>
                <w:webHidden/>
              </w:rPr>
              <w:tab/>
            </w:r>
            <w:r>
              <w:rPr>
                <w:webHidden/>
              </w:rPr>
              <w:fldChar w:fldCharType="begin"/>
            </w:r>
            <w:r>
              <w:rPr>
                <w:webHidden/>
              </w:rPr>
              <w:instrText xml:space="preserve"> PAGEREF _Toc198879986 \h </w:instrText>
            </w:r>
            <w:r>
              <w:rPr>
                <w:webHidden/>
              </w:rPr>
            </w:r>
            <w:r>
              <w:rPr>
                <w:webHidden/>
              </w:rPr>
              <w:fldChar w:fldCharType="separate"/>
            </w:r>
            <w:r>
              <w:rPr>
                <w:webHidden/>
              </w:rPr>
              <w:t>28</w:t>
            </w:r>
            <w:r>
              <w:rPr>
                <w:webHidden/>
              </w:rPr>
              <w:fldChar w:fldCharType="end"/>
            </w:r>
          </w:hyperlink>
        </w:p>
        <w:p w14:paraId="239B74C1" w14:textId="3BFABEB4" w:rsidR="00047978" w:rsidRDefault="00047978">
          <w:pPr>
            <w:pStyle w:val="TOC2"/>
            <w:rPr>
              <w:rFonts w:asciiTheme="minorHAnsi" w:eastAsiaTheme="minorEastAsia" w:hAnsiTheme="minorHAnsi"/>
              <w:sz w:val="24"/>
              <w:szCs w:val="24"/>
              <w:lang w:eastAsia="en-GB"/>
            </w:rPr>
          </w:pPr>
          <w:hyperlink w:anchor="_Toc198879987" w:history="1">
            <w:r w:rsidRPr="00696B44">
              <w:rPr>
                <w:rStyle w:val="Hyperlink"/>
                <w:rFonts w:ascii="Arial" w:hAnsi="Arial" w:cs="Arial"/>
              </w:rPr>
              <w:t>9.2 Advice from England, Scotland and Northern Ireland</w:t>
            </w:r>
            <w:r>
              <w:rPr>
                <w:webHidden/>
              </w:rPr>
              <w:tab/>
            </w:r>
            <w:r>
              <w:rPr>
                <w:webHidden/>
              </w:rPr>
              <w:fldChar w:fldCharType="begin"/>
            </w:r>
            <w:r>
              <w:rPr>
                <w:webHidden/>
              </w:rPr>
              <w:instrText xml:space="preserve"> PAGEREF _Toc198879987 \h </w:instrText>
            </w:r>
            <w:r>
              <w:rPr>
                <w:webHidden/>
              </w:rPr>
            </w:r>
            <w:r>
              <w:rPr>
                <w:webHidden/>
              </w:rPr>
              <w:fldChar w:fldCharType="separate"/>
            </w:r>
            <w:r>
              <w:rPr>
                <w:webHidden/>
              </w:rPr>
              <w:t>29</w:t>
            </w:r>
            <w:r>
              <w:rPr>
                <w:webHidden/>
              </w:rPr>
              <w:fldChar w:fldCharType="end"/>
            </w:r>
          </w:hyperlink>
        </w:p>
        <w:p w14:paraId="1DDAC5FD" w14:textId="58189D42" w:rsidR="00047978" w:rsidRDefault="00047978">
          <w:pPr>
            <w:pStyle w:val="TOC2"/>
            <w:rPr>
              <w:rFonts w:asciiTheme="minorHAnsi" w:eastAsiaTheme="minorEastAsia" w:hAnsiTheme="minorHAnsi"/>
              <w:sz w:val="24"/>
              <w:szCs w:val="24"/>
              <w:lang w:eastAsia="en-GB"/>
            </w:rPr>
          </w:pPr>
          <w:hyperlink w:anchor="_Toc198879988" w:history="1">
            <w:r w:rsidRPr="00696B44">
              <w:rPr>
                <w:rStyle w:val="Hyperlink"/>
                <w:rFonts w:ascii="Arial" w:hAnsi="Arial" w:cs="Arial"/>
              </w:rPr>
              <w:t>9.3 Wales</w:t>
            </w:r>
            <w:r>
              <w:rPr>
                <w:webHidden/>
              </w:rPr>
              <w:tab/>
            </w:r>
            <w:r>
              <w:rPr>
                <w:webHidden/>
              </w:rPr>
              <w:fldChar w:fldCharType="begin"/>
            </w:r>
            <w:r>
              <w:rPr>
                <w:webHidden/>
              </w:rPr>
              <w:instrText xml:space="preserve"> PAGEREF _Toc198879988 \h </w:instrText>
            </w:r>
            <w:r>
              <w:rPr>
                <w:webHidden/>
              </w:rPr>
            </w:r>
            <w:r>
              <w:rPr>
                <w:webHidden/>
              </w:rPr>
              <w:fldChar w:fldCharType="separate"/>
            </w:r>
            <w:r>
              <w:rPr>
                <w:webHidden/>
              </w:rPr>
              <w:t>30</w:t>
            </w:r>
            <w:r>
              <w:rPr>
                <w:webHidden/>
              </w:rPr>
              <w:fldChar w:fldCharType="end"/>
            </w:r>
          </w:hyperlink>
        </w:p>
        <w:p w14:paraId="6CEA4563" w14:textId="1490593C" w:rsidR="00047978" w:rsidRDefault="00047978">
          <w:pPr>
            <w:pStyle w:val="TOC1"/>
            <w:rPr>
              <w:rFonts w:asciiTheme="minorHAnsi" w:eastAsiaTheme="minorEastAsia" w:hAnsiTheme="minorHAnsi"/>
              <w:sz w:val="24"/>
              <w:szCs w:val="24"/>
              <w:lang w:eastAsia="en-GB"/>
            </w:rPr>
          </w:pPr>
          <w:hyperlink w:anchor="_Toc198879989" w:history="1">
            <w:r w:rsidRPr="00696B44">
              <w:rPr>
                <w:rStyle w:val="Hyperlink"/>
                <w:rFonts w:ascii="Arial" w:hAnsi="Arial" w:cs="Arial"/>
              </w:rPr>
              <w:t>10. Grid infrastructure</w:t>
            </w:r>
            <w:r>
              <w:rPr>
                <w:webHidden/>
              </w:rPr>
              <w:tab/>
            </w:r>
            <w:r>
              <w:rPr>
                <w:webHidden/>
              </w:rPr>
              <w:fldChar w:fldCharType="begin"/>
            </w:r>
            <w:r>
              <w:rPr>
                <w:webHidden/>
              </w:rPr>
              <w:instrText xml:space="preserve"> PAGEREF _Toc198879989 \h </w:instrText>
            </w:r>
            <w:r>
              <w:rPr>
                <w:webHidden/>
              </w:rPr>
            </w:r>
            <w:r>
              <w:rPr>
                <w:webHidden/>
              </w:rPr>
              <w:fldChar w:fldCharType="separate"/>
            </w:r>
            <w:r>
              <w:rPr>
                <w:webHidden/>
              </w:rPr>
              <w:t>30</w:t>
            </w:r>
            <w:r>
              <w:rPr>
                <w:webHidden/>
              </w:rPr>
              <w:fldChar w:fldCharType="end"/>
            </w:r>
          </w:hyperlink>
        </w:p>
        <w:p w14:paraId="7274D5EE" w14:textId="43AF9521" w:rsidR="00047978" w:rsidRDefault="00047978">
          <w:pPr>
            <w:pStyle w:val="TOC2"/>
            <w:rPr>
              <w:rFonts w:asciiTheme="minorHAnsi" w:eastAsiaTheme="minorEastAsia" w:hAnsiTheme="minorHAnsi"/>
              <w:sz w:val="24"/>
              <w:szCs w:val="24"/>
              <w:lang w:eastAsia="en-GB"/>
            </w:rPr>
          </w:pPr>
          <w:hyperlink w:anchor="_Toc198879990" w:history="1">
            <w:r w:rsidRPr="00696B44">
              <w:rPr>
                <w:rStyle w:val="Hyperlink"/>
                <w:rFonts w:ascii="Arial" w:hAnsi="Arial" w:cs="Arial"/>
              </w:rPr>
              <w:t>10.1 England and Wales</w:t>
            </w:r>
            <w:r>
              <w:rPr>
                <w:webHidden/>
              </w:rPr>
              <w:tab/>
            </w:r>
            <w:r>
              <w:rPr>
                <w:webHidden/>
              </w:rPr>
              <w:fldChar w:fldCharType="begin"/>
            </w:r>
            <w:r>
              <w:rPr>
                <w:webHidden/>
              </w:rPr>
              <w:instrText xml:space="preserve"> PAGEREF _Toc198879990 \h </w:instrText>
            </w:r>
            <w:r>
              <w:rPr>
                <w:webHidden/>
              </w:rPr>
            </w:r>
            <w:r>
              <w:rPr>
                <w:webHidden/>
              </w:rPr>
              <w:fldChar w:fldCharType="separate"/>
            </w:r>
            <w:r>
              <w:rPr>
                <w:webHidden/>
              </w:rPr>
              <w:t>30</w:t>
            </w:r>
            <w:r>
              <w:rPr>
                <w:webHidden/>
              </w:rPr>
              <w:fldChar w:fldCharType="end"/>
            </w:r>
          </w:hyperlink>
        </w:p>
        <w:p w14:paraId="07400C1E" w14:textId="2F1AF9F6" w:rsidR="00047978" w:rsidRDefault="00047978">
          <w:pPr>
            <w:pStyle w:val="TOC2"/>
            <w:rPr>
              <w:rFonts w:asciiTheme="minorHAnsi" w:eastAsiaTheme="minorEastAsia" w:hAnsiTheme="minorHAnsi"/>
              <w:sz w:val="24"/>
              <w:szCs w:val="24"/>
              <w:lang w:eastAsia="en-GB"/>
            </w:rPr>
          </w:pPr>
          <w:hyperlink w:anchor="_Toc198879991" w:history="1">
            <w:r w:rsidRPr="00696B44">
              <w:rPr>
                <w:rStyle w:val="Hyperlink"/>
                <w:rFonts w:ascii="Arial" w:hAnsi="Arial" w:cs="Arial"/>
              </w:rPr>
              <w:t>10.2 Scotland</w:t>
            </w:r>
            <w:r>
              <w:rPr>
                <w:webHidden/>
              </w:rPr>
              <w:tab/>
            </w:r>
            <w:r>
              <w:rPr>
                <w:webHidden/>
              </w:rPr>
              <w:fldChar w:fldCharType="begin"/>
            </w:r>
            <w:r>
              <w:rPr>
                <w:webHidden/>
              </w:rPr>
              <w:instrText xml:space="preserve"> PAGEREF _Toc198879991 \h </w:instrText>
            </w:r>
            <w:r>
              <w:rPr>
                <w:webHidden/>
              </w:rPr>
            </w:r>
            <w:r>
              <w:rPr>
                <w:webHidden/>
              </w:rPr>
              <w:fldChar w:fldCharType="separate"/>
            </w:r>
            <w:r>
              <w:rPr>
                <w:webHidden/>
              </w:rPr>
              <w:t>31</w:t>
            </w:r>
            <w:r>
              <w:rPr>
                <w:webHidden/>
              </w:rPr>
              <w:fldChar w:fldCharType="end"/>
            </w:r>
          </w:hyperlink>
        </w:p>
        <w:p w14:paraId="3F1D89BB" w14:textId="277F8791" w:rsidR="00047978" w:rsidRDefault="00047978">
          <w:pPr>
            <w:pStyle w:val="TOC2"/>
            <w:rPr>
              <w:rFonts w:asciiTheme="minorHAnsi" w:eastAsiaTheme="minorEastAsia" w:hAnsiTheme="minorHAnsi"/>
              <w:sz w:val="24"/>
              <w:szCs w:val="24"/>
              <w:lang w:eastAsia="en-GB"/>
            </w:rPr>
          </w:pPr>
          <w:hyperlink w:anchor="_Toc198879992" w:history="1">
            <w:r w:rsidRPr="00696B44">
              <w:rPr>
                <w:rStyle w:val="Hyperlink"/>
                <w:rFonts w:ascii="Arial" w:hAnsi="Arial" w:cs="Arial"/>
              </w:rPr>
              <w:t>10.3 Northern Ireland</w:t>
            </w:r>
            <w:r>
              <w:rPr>
                <w:webHidden/>
              </w:rPr>
              <w:tab/>
            </w:r>
            <w:r>
              <w:rPr>
                <w:webHidden/>
              </w:rPr>
              <w:fldChar w:fldCharType="begin"/>
            </w:r>
            <w:r>
              <w:rPr>
                <w:webHidden/>
              </w:rPr>
              <w:instrText xml:space="preserve"> PAGEREF _Toc198879992 \h </w:instrText>
            </w:r>
            <w:r>
              <w:rPr>
                <w:webHidden/>
              </w:rPr>
            </w:r>
            <w:r>
              <w:rPr>
                <w:webHidden/>
              </w:rPr>
              <w:fldChar w:fldCharType="separate"/>
            </w:r>
            <w:r>
              <w:rPr>
                <w:webHidden/>
              </w:rPr>
              <w:t>32</w:t>
            </w:r>
            <w:r>
              <w:rPr>
                <w:webHidden/>
              </w:rPr>
              <w:fldChar w:fldCharType="end"/>
            </w:r>
          </w:hyperlink>
        </w:p>
        <w:p w14:paraId="6B399290" w14:textId="094ED6DA" w:rsidR="00047978" w:rsidRDefault="00047978">
          <w:pPr>
            <w:pStyle w:val="TOC1"/>
            <w:rPr>
              <w:rFonts w:asciiTheme="minorHAnsi" w:eastAsiaTheme="minorEastAsia" w:hAnsiTheme="minorHAnsi"/>
              <w:sz w:val="24"/>
              <w:szCs w:val="24"/>
              <w:lang w:eastAsia="en-GB"/>
            </w:rPr>
          </w:pPr>
          <w:hyperlink w:anchor="_Toc198879993" w:history="1">
            <w:r w:rsidRPr="00696B44">
              <w:rPr>
                <w:rStyle w:val="Hyperlink"/>
                <w:rFonts w:ascii="Arial" w:hAnsi="Arial" w:cs="Arial"/>
              </w:rPr>
              <w:t>11. Heat networks</w:t>
            </w:r>
            <w:r>
              <w:rPr>
                <w:webHidden/>
              </w:rPr>
              <w:tab/>
            </w:r>
            <w:r>
              <w:rPr>
                <w:webHidden/>
              </w:rPr>
              <w:fldChar w:fldCharType="begin"/>
            </w:r>
            <w:r>
              <w:rPr>
                <w:webHidden/>
              </w:rPr>
              <w:instrText xml:space="preserve"> PAGEREF _Toc198879993 \h </w:instrText>
            </w:r>
            <w:r>
              <w:rPr>
                <w:webHidden/>
              </w:rPr>
            </w:r>
            <w:r>
              <w:rPr>
                <w:webHidden/>
              </w:rPr>
              <w:fldChar w:fldCharType="separate"/>
            </w:r>
            <w:r>
              <w:rPr>
                <w:webHidden/>
              </w:rPr>
              <w:t>32</w:t>
            </w:r>
            <w:r>
              <w:rPr>
                <w:webHidden/>
              </w:rPr>
              <w:fldChar w:fldCharType="end"/>
            </w:r>
          </w:hyperlink>
        </w:p>
        <w:p w14:paraId="1AB89108" w14:textId="2DB5A57D" w:rsidR="00047978" w:rsidRDefault="00047978">
          <w:pPr>
            <w:pStyle w:val="TOC2"/>
            <w:rPr>
              <w:rFonts w:asciiTheme="minorHAnsi" w:eastAsiaTheme="minorEastAsia" w:hAnsiTheme="minorHAnsi"/>
              <w:sz w:val="24"/>
              <w:szCs w:val="24"/>
              <w:lang w:eastAsia="en-GB"/>
            </w:rPr>
          </w:pPr>
          <w:hyperlink w:anchor="_Toc198879994" w:history="1">
            <w:r w:rsidRPr="00696B44">
              <w:rPr>
                <w:rStyle w:val="Hyperlink"/>
                <w:rFonts w:ascii="Arial" w:hAnsi="Arial" w:cs="Arial"/>
              </w:rPr>
              <w:t>11.1 UK-wide guidance</w:t>
            </w:r>
            <w:r>
              <w:rPr>
                <w:webHidden/>
              </w:rPr>
              <w:tab/>
            </w:r>
            <w:r>
              <w:rPr>
                <w:webHidden/>
              </w:rPr>
              <w:fldChar w:fldCharType="begin"/>
            </w:r>
            <w:r>
              <w:rPr>
                <w:webHidden/>
              </w:rPr>
              <w:instrText xml:space="preserve"> PAGEREF _Toc198879994 \h </w:instrText>
            </w:r>
            <w:r>
              <w:rPr>
                <w:webHidden/>
              </w:rPr>
            </w:r>
            <w:r>
              <w:rPr>
                <w:webHidden/>
              </w:rPr>
              <w:fldChar w:fldCharType="separate"/>
            </w:r>
            <w:r>
              <w:rPr>
                <w:webHidden/>
              </w:rPr>
              <w:t>32</w:t>
            </w:r>
            <w:r>
              <w:rPr>
                <w:webHidden/>
              </w:rPr>
              <w:fldChar w:fldCharType="end"/>
            </w:r>
          </w:hyperlink>
        </w:p>
        <w:p w14:paraId="35A096FB" w14:textId="56184FE3" w:rsidR="00047978" w:rsidRDefault="00047978">
          <w:pPr>
            <w:pStyle w:val="TOC3"/>
            <w:tabs>
              <w:tab w:val="right" w:leader="dot" w:pos="9016"/>
            </w:tabs>
            <w:rPr>
              <w:rFonts w:asciiTheme="minorHAnsi" w:eastAsiaTheme="minorEastAsia" w:hAnsiTheme="minorHAnsi"/>
              <w:noProof/>
              <w:sz w:val="24"/>
              <w:szCs w:val="24"/>
              <w:lang w:eastAsia="en-GB"/>
            </w:rPr>
          </w:pPr>
          <w:hyperlink w:anchor="_Toc198879995" w:history="1">
            <w:r w:rsidRPr="00696B44">
              <w:rPr>
                <w:rStyle w:val="Hyperlink"/>
                <w:rFonts w:ascii="Arial" w:hAnsi="Arial" w:cs="Arial"/>
                <w:noProof/>
              </w:rPr>
              <w:t>11.1.1 Pipework</w:t>
            </w:r>
            <w:r>
              <w:rPr>
                <w:noProof/>
                <w:webHidden/>
              </w:rPr>
              <w:tab/>
            </w:r>
            <w:r>
              <w:rPr>
                <w:noProof/>
                <w:webHidden/>
              </w:rPr>
              <w:fldChar w:fldCharType="begin"/>
            </w:r>
            <w:r>
              <w:rPr>
                <w:noProof/>
                <w:webHidden/>
              </w:rPr>
              <w:instrText xml:space="preserve"> PAGEREF _Toc198879995 \h </w:instrText>
            </w:r>
            <w:r>
              <w:rPr>
                <w:noProof/>
                <w:webHidden/>
              </w:rPr>
            </w:r>
            <w:r>
              <w:rPr>
                <w:noProof/>
                <w:webHidden/>
              </w:rPr>
              <w:fldChar w:fldCharType="separate"/>
            </w:r>
            <w:r>
              <w:rPr>
                <w:noProof/>
                <w:webHidden/>
              </w:rPr>
              <w:t>33</w:t>
            </w:r>
            <w:r>
              <w:rPr>
                <w:noProof/>
                <w:webHidden/>
              </w:rPr>
              <w:fldChar w:fldCharType="end"/>
            </w:r>
          </w:hyperlink>
        </w:p>
        <w:p w14:paraId="6CCCE210" w14:textId="27B569E9" w:rsidR="00047978" w:rsidRDefault="00047978">
          <w:pPr>
            <w:pStyle w:val="TOC3"/>
            <w:tabs>
              <w:tab w:val="right" w:leader="dot" w:pos="9016"/>
            </w:tabs>
            <w:rPr>
              <w:rFonts w:asciiTheme="minorHAnsi" w:eastAsiaTheme="minorEastAsia" w:hAnsiTheme="minorHAnsi"/>
              <w:noProof/>
              <w:sz w:val="24"/>
              <w:szCs w:val="24"/>
              <w:lang w:eastAsia="en-GB"/>
            </w:rPr>
          </w:pPr>
          <w:hyperlink w:anchor="_Toc198879996" w:history="1">
            <w:r w:rsidRPr="00696B44">
              <w:rPr>
                <w:rStyle w:val="Hyperlink"/>
                <w:rFonts w:ascii="Arial" w:hAnsi="Arial" w:cs="Arial"/>
                <w:noProof/>
              </w:rPr>
              <w:t>11.1.2 Energy centres</w:t>
            </w:r>
            <w:r>
              <w:rPr>
                <w:noProof/>
                <w:webHidden/>
              </w:rPr>
              <w:tab/>
            </w:r>
            <w:r>
              <w:rPr>
                <w:noProof/>
                <w:webHidden/>
              </w:rPr>
              <w:fldChar w:fldCharType="begin"/>
            </w:r>
            <w:r>
              <w:rPr>
                <w:noProof/>
                <w:webHidden/>
              </w:rPr>
              <w:instrText xml:space="preserve"> PAGEREF _Toc198879996 \h </w:instrText>
            </w:r>
            <w:r>
              <w:rPr>
                <w:noProof/>
                <w:webHidden/>
              </w:rPr>
            </w:r>
            <w:r>
              <w:rPr>
                <w:noProof/>
                <w:webHidden/>
              </w:rPr>
              <w:fldChar w:fldCharType="separate"/>
            </w:r>
            <w:r>
              <w:rPr>
                <w:noProof/>
                <w:webHidden/>
              </w:rPr>
              <w:t>33</w:t>
            </w:r>
            <w:r>
              <w:rPr>
                <w:noProof/>
                <w:webHidden/>
              </w:rPr>
              <w:fldChar w:fldCharType="end"/>
            </w:r>
          </w:hyperlink>
        </w:p>
        <w:p w14:paraId="0B097993" w14:textId="0C7B5422" w:rsidR="00047978" w:rsidRDefault="00047978">
          <w:pPr>
            <w:pStyle w:val="TOC2"/>
            <w:rPr>
              <w:rFonts w:asciiTheme="minorHAnsi" w:eastAsiaTheme="minorEastAsia" w:hAnsiTheme="minorHAnsi"/>
              <w:sz w:val="24"/>
              <w:szCs w:val="24"/>
              <w:lang w:eastAsia="en-GB"/>
            </w:rPr>
          </w:pPr>
          <w:hyperlink w:anchor="_Toc198879997" w:history="1">
            <w:r w:rsidRPr="00696B44">
              <w:rPr>
                <w:rStyle w:val="Hyperlink"/>
                <w:rFonts w:ascii="Arial" w:hAnsi="Arial" w:cs="Arial"/>
              </w:rPr>
              <w:t>11.2 England</w:t>
            </w:r>
            <w:r>
              <w:rPr>
                <w:webHidden/>
              </w:rPr>
              <w:tab/>
            </w:r>
            <w:r>
              <w:rPr>
                <w:webHidden/>
              </w:rPr>
              <w:fldChar w:fldCharType="begin"/>
            </w:r>
            <w:r>
              <w:rPr>
                <w:webHidden/>
              </w:rPr>
              <w:instrText xml:space="preserve"> PAGEREF _Toc198879997 \h </w:instrText>
            </w:r>
            <w:r>
              <w:rPr>
                <w:webHidden/>
              </w:rPr>
            </w:r>
            <w:r>
              <w:rPr>
                <w:webHidden/>
              </w:rPr>
              <w:fldChar w:fldCharType="separate"/>
            </w:r>
            <w:r>
              <w:rPr>
                <w:webHidden/>
              </w:rPr>
              <w:t>33</w:t>
            </w:r>
            <w:r>
              <w:rPr>
                <w:webHidden/>
              </w:rPr>
              <w:fldChar w:fldCharType="end"/>
            </w:r>
          </w:hyperlink>
        </w:p>
        <w:p w14:paraId="0589B653" w14:textId="5ED2E4C4" w:rsidR="00047978" w:rsidRDefault="00047978">
          <w:pPr>
            <w:pStyle w:val="TOC2"/>
            <w:rPr>
              <w:rFonts w:asciiTheme="minorHAnsi" w:eastAsiaTheme="minorEastAsia" w:hAnsiTheme="minorHAnsi"/>
              <w:sz w:val="24"/>
              <w:szCs w:val="24"/>
              <w:lang w:eastAsia="en-GB"/>
            </w:rPr>
          </w:pPr>
          <w:hyperlink w:anchor="_Toc198879998" w:history="1">
            <w:r w:rsidRPr="00696B44">
              <w:rPr>
                <w:rStyle w:val="Hyperlink"/>
                <w:rFonts w:ascii="Arial" w:hAnsi="Arial" w:cs="Arial"/>
              </w:rPr>
              <w:t>11.3 Wales</w:t>
            </w:r>
            <w:r>
              <w:rPr>
                <w:webHidden/>
              </w:rPr>
              <w:tab/>
            </w:r>
            <w:r>
              <w:rPr>
                <w:webHidden/>
              </w:rPr>
              <w:fldChar w:fldCharType="begin"/>
            </w:r>
            <w:r>
              <w:rPr>
                <w:webHidden/>
              </w:rPr>
              <w:instrText xml:space="preserve"> PAGEREF _Toc198879998 \h </w:instrText>
            </w:r>
            <w:r>
              <w:rPr>
                <w:webHidden/>
              </w:rPr>
            </w:r>
            <w:r>
              <w:rPr>
                <w:webHidden/>
              </w:rPr>
              <w:fldChar w:fldCharType="separate"/>
            </w:r>
            <w:r>
              <w:rPr>
                <w:webHidden/>
              </w:rPr>
              <w:t>34</w:t>
            </w:r>
            <w:r>
              <w:rPr>
                <w:webHidden/>
              </w:rPr>
              <w:fldChar w:fldCharType="end"/>
            </w:r>
          </w:hyperlink>
        </w:p>
        <w:p w14:paraId="0F24514B" w14:textId="61543C18" w:rsidR="00047978" w:rsidRDefault="00047978">
          <w:pPr>
            <w:pStyle w:val="TOC2"/>
            <w:rPr>
              <w:rFonts w:asciiTheme="minorHAnsi" w:eastAsiaTheme="minorEastAsia" w:hAnsiTheme="minorHAnsi"/>
              <w:sz w:val="24"/>
              <w:szCs w:val="24"/>
              <w:lang w:eastAsia="en-GB"/>
            </w:rPr>
          </w:pPr>
          <w:hyperlink w:anchor="_Toc198879999" w:history="1">
            <w:r w:rsidRPr="00696B44">
              <w:rPr>
                <w:rStyle w:val="Hyperlink"/>
                <w:rFonts w:ascii="Arial" w:hAnsi="Arial" w:cs="Arial"/>
              </w:rPr>
              <w:t>11.4 Scotland</w:t>
            </w:r>
            <w:r>
              <w:rPr>
                <w:webHidden/>
              </w:rPr>
              <w:tab/>
            </w:r>
            <w:r>
              <w:rPr>
                <w:webHidden/>
              </w:rPr>
              <w:fldChar w:fldCharType="begin"/>
            </w:r>
            <w:r>
              <w:rPr>
                <w:webHidden/>
              </w:rPr>
              <w:instrText xml:space="preserve"> PAGEREF _Toc198879999 \h </w:instrText>
            </w:r>
            <w:r>
              <w:rPr>
                <w:webHidden/>
              </w:rPr>
            </w:r>
            <w:r>
              <w:rPr>
                <w:webHidden/>
              </w:rPr>
              <w:fldChar w:fldCharType="separate"/>
            </w:r>
            <w:r>
              <w:rPr>
                <w:webHidden/>
              </w:rPr>
              <w:t>34</w:t>
            </w:r>
            <w:r>
              <w:rPr>
                <w:webHidden/>
              </w:rPr>
              <w:fldChar w:fldCharType="end"/>
            </w:r>
          </w:hyperlink>
        </w:p>
        <w:p w14:paraId="7F4F5421" w14:textId="07B3C24A" w:rsidR="00047978" w:rsidRDefault="00047978">
          <w:pPr>
            <w:pStyle w:val="TOC2"/>
            <w:rPr>
              <w:rFonts w:asciiTheme="minorHAnsi" w:eastAsiaTheme="minorEastAsia" w:hAnsiTheme="minorHAnsi"/>
              <w:sz w:val="24"/>
              <w:szCs w:val="24"/>
              <w:lang w:eastAsia="en-GB"/>
            </w:rPr>
          </w:pPr>
          <w:hyperlink w:anchor="_Toc198880000" w:history="1">
            <w:r w:rsidRPr="00696B44">
              <w:rPr>
                <w:rStyle w:val="Hyperlink"/>
                <w:rFonts w:ascii="Arial" w:hAnsi="Arial" w:cs="Arial"/>
              </w:rPr>
              <w:t>11.5 Northern Ireland</w:t>
            </w:r>
            <w:r>
              <w:rPr>
                <w:webHidden/>
              </w:rPr>
              <w:tab/>
            </w:r>
            <w:r>
              <w:rPr>
                <w:webHidden/>
              </w:rPr>
              <w:fldChar w:fldCharType="begin"/>
            </w:r>
            <w:r>
              <w:rPr>
                <w:webHidden/>
              </w:rPr>
              <w:instrText xml:space="preserve"> PAGEREF _Toc198880000 \h </w:instrText>
            </w:r>
            <w:r>
              <w:rPr>
                <w:webHidden/>
              </w:rPr>
            </w:r>
            <w:r>
              <w:rPr>
                <w:webHidden/>
              </w:rPr>
              <w:fldChar w:fldCharType="separate"/>
            </w:r>
            <w:r>
              <w:rPr>
                <w:webHidden/>
              </w:rPr>
              <w:t>35</w:t>
            </w:r>
            <w:r>
              <w:rPr>
                <w:webHidden/>
              </w:rPr>
              <w:fldChar w:fldCharType="end"/>
            </w:r>
          </w:hyperlink>
        </w:p>
        <w:p w14:paraId="215B646F" w14:textId="027DD980" w:rsidR="00047978" w:rsidRDefault="00047978">
          <w:pPr>
            <w:pStyle w:val="TOC1"/>
            <w:rPr>
              <w:rFonts w:asciiTheme="minorHAnsi" w:eastAsiaTheme="minorEastAsia" w:hAnsiTheme="minorHAnsi"/>
              <w:sz w:val="24"/>
              <w:szCs w:val="24"/>
              <w:lang w:eastAsia="en-GB"/>
            </w:rPr>
          </w:pPr>
          <w:hyperlink w:anchor="_Toc198880001" w:history="1">
            <w:r w:rsidRPr="00696B44">
              <w:rPr>
                <w:rStyle w:val="Hyperlink"/>
                <w:rFonts w:ascii="Arial" w:hAnsi="Arial" w:cs="Arial"/>
              </w:rPr>
              <w:t>12. Key issues addressed in policy and guidance</w:t>
            </w:r>
            <w:r>
              <w:rPr>
                <w:webHidden/>
              </w:rPr>
              <w:tab/>
            </w:r>
            <w:r>
              <w:rPr>
                <w:webHidden/>
              </w:rPr>
              <w:fldChar w:fldCharType="begin"/>
            </w:r>
            <w:r>
              <w:rPr>
                <w:webHidden/>
              </w:rPr>
              <w:instrText xml:space="preserve"> PAGEREF _Toc198880001 \h </w:instrText>
            </w:r>
            <w:r>
              <w:rPr>
                <w:webHidden/>
              </w:rPr>
            </w:r>
            <w:r>
              <w:rPr>
                <w:webHidden/>
              </w:rPr>
              <w:fldChar w:fldCharType="separate"/>
            </w:r>
            <w:r>
              <w:rPr>
                <w:webHidden/>
              </w:rPr>
              <w:t>35</w:t>
            </w:r>
            <w:r>
              <w:rPr>
                <w:webHidden/>
              </w:rPr>
              <w:fldChar w:fldCharType="end"/>
            </w:r>
          </w:hyperlink>
        </w:p>
        <w:p w14:paraId="4A28C646" w14:textId="684DE4D9" w:rsidR="00047978" w:rsidRDefault="00047978">
          <w:pPr>
            <w:pStyle w:val="TOC2"/>
            <w:rPr>
              <w:rFonts w:asciiTheme="minorHAnsi" w:eastAsiaTheme="minorEastAsia" w:hAnsiTheme="minorHAnsi"/>
              <w:sz w:val="24"/>
              <w:szCs w:val="24"/>
              <w:lang w:eastAsia="en-GB"/>
            </w:rPr>
          </w:pPr>
          <w:hyperlink w:anchor="_Toc198880002" w:history="1">
            <w:r w:rsidRPr="00696B44">
              <w:rPr>
                <w:rStyle w:val="Hyperlink"/>
                <w:rFonts w:ascii="Arial" w:hAnsi="Arial" w:cs="Arial"/>
              </w:rPr>
              <w:t>12.1 England and Wales</w:t>
            </w:r>
            <w:r>
              <w:rPr>
                <w:webHidden/>
              </w:rPr>
              <w:tab/>
            </w:r>
            <w:r>
              <w:rPr>
                <w:webHidden/>
              </w:rPr>
              <w:fldChar w:fldCharType="begin"/>
            </w:r>
            <w:r>
              <w:rPr>
                <w:webHidden/>
              </w:rPr>
              <w:instrText xml:space="preserve"> PAGEREF _Toc198880002 \h </w:instrText>
            </w:r>
            <w:r>
              <w:rPr>
                <w:webHidden/>
              </w:rPr>
            </w:r>
            <w:r>
              <w:rPr>
                <w:webHidden/>
              </w:rPr>
              <w:fldChar w:fldCharType="separate"/>
            </w:r>
            <w:r>
              <w:rPr>
                <w:webHidden/>
              </w:rPr>
              <w:t>35</w:t>
            </w:r>
            <w:r>
              <w:rPr>
                <w:webHidden/>
              </w:rPr>
              <w:fldChar w:fldCharType="end"/>
            </w:r>
          </w:hyperlink>
        </w:p>
        <w:p w14:paraId="194B3E01" w14:textId="5787CF8D" w:rsidR="00047978" w:rsidRDefault="00047978">
          <w:pPr>
            <w:pStyle w:val="TOC2"/>
            <w:rPr>
              <w:rFonts w:asciiTheme="minorHAnsi" w:eastAsiaTheme="minorEastAsia" w:hAnsiTheme="minorHAnsi"/>
              <w:sz w:val="24"/>
              <w:szCs w:val="24"/>
              <w:lang w:eastAsia="en-GB"/>
            </w:rPr>
          </w:pPr>
          <w:hyperlink w:anchor="_Toc198880003" w:history="1">
            <w:r w:rsidRPr="00696B44">
              <w:rPr>
                <w:rStyle w:val="Hyperlink"/>
                <w:rFonts w:ascii="Arial" w:hAnsi="Arial" w:cs="Arial"/>
              </w:rPr>
              <w:t>12.2 Scotland</w:t>
            </w:r>
            <w:r>
              <w:rPr>
                <w:webHidden/>
              </w:rPr>
              <w:tab/>
            </w:r>
            <w:r>
              <w:rPr>
                <w:webHidden/>
              </w:rPr>
              <w:fldChar w:fldCharType="begin"/>
            </w:r>
            <w:r>
              <w:rPr>
                <w:webHidden/>
              </w:rPr>
              <w:instrText xml:space="preserve"> PAGEREF _Toc198880003 \h </w:instrText>
            </w:r>
            <w:r>
              <w:rPr>
                <w:webHidden/>
              </w:rPr>
            </w:r>
            <w:r>
              <w:rPr>
                <w:webHidden/>
              </w:rPr>
              <w:fldChar w:fldCharType="separate"/>
            </w:r>
            <w:r>
              <w:rPr>
                <w:webHidden/>
              </w:rPr>
              <w:t>36</w:t>
            </w:r>
            <w:r>
              <w:rPr>
                <w:webHidden/>
              </w:rPr>
              <w:fldChar w:fldCharType="end"/>
            </w:r>
          </w:hyperlink>
        </w:p>
        <w:p w14:paraId="76966648" w14:textId="4CC21685" w:rsidR="00047978" w:rsidRDefault="00047978">
          <w:pPr>
            <w:pStyle w:val="TOC2"/>
            <w:rPr>
              <w:rFonts w:asciiTheme="minorHAnsi" w:eastAsiaTheme="minorEastAsia" w:hAnsiTheme="minorHAnsi"/>
              <w:sz w:val="24"/>
              <w:szCs w:val="24"/>
              <w:lang w:eastAsia="en-GB"/>
            </w:rPr>
          </w:pPr>
          <w:hyperlink w:anchor="_Toc198880004" w:history="1">
            <w:r w:rsidRPr="00696B44">
              <w:rPr>
                <w:rStyle w:val="Hyperlink"/>
                <w:rFonts w:ascii="Arial" w:hAnsi="Arial" w:cs="Arial"/>
              </w:rPr>
              <w:t>12.3 Northern Ireland</w:t>
            </w:r>
            <w:r>
              <w:rPr>
                <w:webHidden/>
              </w:rPr>
              <w:tab/>
            </w:r>
            <w:r>
              <w:rPr>
                <w:webHidden/>
              </w:rPr>
              <w:fldChar w:fldCharType="begin"/>
            </w:r>
            <w:r>
              <w:rPr>
                <w:webHidden/>
              </w:rPr>
              <w:instrText xml:space="preserve"> PAGEREF _Toc198880004 \h </w:instrText>
            </w:r>
            <w:r>
              <w:rPr>
                <w:webHidden/>
              </w:rPr>
            </w:r>
            <w:r>
              <w:rPr>
                <w:webHidden/>
              </w:rPr>
              <w:fldChar w:fldCharType="separate"/>
            </w:r>
            <w:r>
              <w:rPr>
                <w:webHidden/>
              </w:rPr>
              <w:t>37</w:t>
            </w:r>
            <w:r>
              <w:rPr>
                <w:webHidden/>
              </w:rPr>
              <w:fldChar w:fldCharType="end"/>
            </w:r>
          </w:hyperlink>
        </w:p>
        <w:p w14:paraId="02DEC1A9" w14:textId="5E2C6469" w:rsidR="00047978" w:rsidRDefault="00047978">
          <w:pPr>
            <w:pStyle w:val="TOC1"/>
            <w:rPr>
              <w:rFonts w:asciiTheme="minorHAnsi" w:eastAsiaTheme="minorEastAsia" w:hAnsiTheme="minorHAnsi"/>
              <w:sz w:val="24"/>
              <w:szCs w:val="24"/>
              <w:lang w:eastAsia="en-GB"/>
            </w:rPr>
          </w:pPr>
          <w:hyperlink w:anchor="_Toc198880005" w:history="1">
            <w:r w:rsidRPr="00696B44">
              <w:rPr>
                <w:rStyle w:val="Hyperlink"/>
                <w:rFonts w:ascii="Arial" w:hAnsi="Arial" w:cs="Arial"/>
              </w:rPr>
              <w:t>13. Recommendations to the government and devolved administrations</w:t>
            </w:r>
            <w:r>
              <w:rPr>
                <w:webHidden/>
              </w:rPr>
              <w:tab/>
            </w:r>
            <w:r>
              <w:rPr>
                <w:webHidden/>
              </w:rPr>
              <w:fldChar w:fldCharType="begin"/>
            </w:r>
            <w:r>
              <w:rPr>
                <w:webHidden/>
              </w:rPr>
              <w:instrText xml:space="preserve"> PAGEREF _Toc198880005 \h </w:instrText>
            </w:r>
            <w:r>
              <w:rPr>
                <w:webHidden/>
              </w:rPr>
            </w:r>
            <w:r>
              <w:rPr>
                <w:webHidden/>
              </w:rPr>
              <w:fldChar w:fldCharType="separate"/>
            </w:r>
            <w:r>
              <w:rPr>
                <w:webHidden/>
              </w:rPr>
              <w:t>38</w:t>
            </w:r>
            <w:r>
              <w:rPr>
                <w:webHidden/>
              </w:rPr>
              <w:fldChar w:fldCharType="end"/>
            </w:r>
          </w:hyperlink>
        </w:p>
        <w:p w14:paraId="36B81A48" w14:textId="6F9B0D52" w:rsidR="00047978" w:rsidRDefault="00047978">
          <w:pPr>
            <w:pStyle w:val="TOC2"/>
            <w:rPr>
              <w:rFonts w:asciiTheme="minorHAnsi" w:eastAsiaTheme="minorEastAsia" w:hAnsiTheme="minorHAnsi"/>
              <w:sz w:val="24"/>
              <w:szCs w:val="24"/>
              <w:lang w:eastAsia="en-GB"/>
            </w:rPr>
          </w:pPr>
          <w:hyperlink w:anchor="_Toc198880006" w:history="1">
            <w:r w:rsidRPr="00696B44">
              <w:rPr>
                <w:rStyle w:val="Hyperlink"/>
                <w:rFonts w:ascii="Arial" w:hAnsi="Arial" w:cs="Arial"/>
                <w:iCs/>
              </w:rPr>
              <w:t>13.1 Grid</w:t>
            </w:r>
            <w:r w:rsidRPr="00696B44">
              <w:rPr>
                <w:rStyle w:val="Hyperlink"/>
                <w:rFonts w:ascii="Arial" w:hAnsi="Arial" w:cs="Arial"/>
              </w:rPr>
              <w:t xml:space="preserve"> infrastructure</w:t>
            </w:r>
            <w:r>
              <w:rPr>
                <w:webHidden/>
              </w:rPr>
              <w:tab/>
            </w:r>
            <w:r>
              <w:rPr>
                <w:webHidden/>
              </w:rPr>
              <w:fldChar w:fldCharType="begin"/>
            </w:r>
            <w:r>
              <w:rPr>
                <w:webHidden/>
              </w:rPr>
              <w:instrText xml:space="preserve"> PAGEREF _Toc198880006 \h </w:instrText>
            </w:r>
            <w:r>
              <w:rPr>
                <w:webHidden/>
              </w:rPr>
            </w:r>
            <w:r>
              <w:rPr>
                <w:webHidden/>
              </w:rPr>
              <w:fldChar w:fldCharType="separate"/>
            </w:r>
            <w:r>
              <w:rPr>
                <w:webHidden/>
              </w:rPr>
              <w:t>38</w:t>
            </w:r>
            <w:r>
              <w:rPr>
                <w:webHidden/>
              </w:rPr>
              <w:fldChar w:fldCharType="end"/>
            </w:r>
          </w:hyperlink>
        </w:p>
        <w:p w14:paraId="4FD5043D" w14:textId="46DD8B04" w:rsidR="00047978" w:rsidRDefault="00047978">
          <w:pPr>
            <w:pStyle w:val="TOC2"/>
            <w:rPr>
              <w:rFonts w:asciiTheme="minorHAnsi" w:eastAsiaTheme="minorEastAsia" w:hAnsiTheme="minorHAnsi"/>
              <w:sz w:val="24"/>
              <w:szCs w:val="24"/>
              <w:lang w:eastAsia="en-GB"/>
            </w:rPr>
          </w:pPr>
          <w:hyperlink w:anchor="_Toc198880007" w:history="1">
            <w:r w:rsidRPr="00696B44">
              <w:rPr>
                <w:rStyle w:val="Hyperlink"/>
                <w:rFonts w:ascii="Arial" w:hAnsi="Arial" w:cs="Arial"/>
              </w:rPr>
              <w:t>13.2 Heat networks</w:t>
            </w:r>
            <w:r>
              <w:rPr>
                <w:webHidden/>
              </w:rPr>
              <w:tab/>
            </w:r>
            <w:r>
              <w:rPr>
                <w:webHidden/>
              </w:rPr>
              <w:fldChar w:fldCharType="begin"/>
            </w:r>
            <w:r>
              <w:rPr>
                <w:webHidden/>
              </w:rPr>
              <w:instrText xml:space="preserve"> PAGEREF _Toc198880007 \h </w:instrText>
            </w:r>
            <w:r>
              <w:rPr>
                <w:webHidden/>
              </w:rPr>
            </w:r>
            <w:r>
              <w:rPr>
                <w:webHidden/>
              </w:rPr>
              <w:fldChar w:fldCharType="separate"/>
            </w:r>
            <w:r>
              <w:rPr>
                <w:webHidden/>
              </w:rPr>
              <w:t>38</w:t>
            </w:r>
            <w:r>
              <w:rPr>
                <w:webHidden/>
              </w:rPr>
              <w:fldChar w:fldCharType="end"/>
            </w:r>
          </w:hyperlink>
        </w:p>
        <w:p w14:paraId="3A107EF6" w14:textId="1EDA3520" w:rsidR="00047978" w:rsidRDefault="00047978">
          <w:pPr>
            <w:pStyle w:val="TOC2"/>
            <w:rPr>
              <w:rFonts w:asciiTheme="minorHAnsi" w:eastAsiaTheme="minorEastAsia" w:hAnsiTheme="minorHAnsi"/>
              <w:sz w:val="24"/>
              <w:szCs w:val="24"/>
              <w:lang w:eastAsia="en-GB"/>
            </w:rPr>
          </w:pPr>
          <w:hyperlink w:anchor="_Toc198880008" w:history="1">
            <w:r w:rsidRPr="00696B44">
              <w:rPr>
                <w:rStyle w:val="Hyperlink"/>
                <w:rFonts w:ascii="Arial" w:hAnsi="Arial" w:cs="Arial"/>
                <w:iCs/>
              </w:rPr>
              <w:t>13.3 Hydrogen</w:t>
            </w:r>
            <w:r>
              <w:rPr>
                <w:webHidden/>
              </w:rPr>
              <w:tab/>
            </w:r>
            <w:r>
              <w:rPr>
                <w:webHidden/>
              </w:rPr>
              <w:fldChar w:fldCharType="begin"/>
            </w:r>
            <w:r>
              <w:rPr>
                <w:webHidden/>
              </w:rPr>
              <w:instrText xml:space="preserve"> PAGEREF _Toc198880008 \h </w:instrText>
            </w:r>
            <w:r>
              <w:rPr>
                <w:webHidden/>
              </w:rPr>
            </w:r>
            <w:r>
              <w:rPr>
                <w:webHidden/>
              </w:rPr>
              <w:fldChar w:fldCharType="separate"/>
            </w:r>
            <w:r>
              <w:rPr>
                <w:webHidden/>
              </w:rPr>
              <w:t>38</w:t>
            </w:r>
            <w:r>
              <w:rPr>
                <w:webHidden/>
              </w:rPr>
              <w:fldChar w:fldCharType="end"/>
            </w:r>
          </w:hyperlink>
        </w:p>
        <w:p w14:paraId="25E3854D" w14:textId="725DD331" w:rsidR="00047978" w:rsidRDefault="00047978">
          <w:pPr>
            <w:pStyle w:val="TOC2"/>
            <w:rPr>
              <w:rFonts w:asciiTheme="minorHAnsi" w:eastAsiaTheme="minorEastAsia" w:hAnsiTheme="minorHAnsi"/>
              <w:sz w:val="24"/>
              <w:szCs w:val="24"/>
              <w:lang w:eastAsia="en-GB"/>
            </w:rPr>
          </w:pPr>
          <w:hyperlink w:anchor="_Toc198880009" w:history="1">
            <w:r w:rsidRPr="00696B44">
              <w:rPr>
                <w:rStyle w:val="Hyperlink"/>
                <w:rFonts w:ascii="Arial" w:hAnsi="Arial" w:cs="Arial"/>
              </w:rPr>
              <w:t>13.4 BESS</w:t>
            </w:r>
            <w:r>
              <w:rPr>
                <w:webHidden/>
              </w:rPr>
              <w:tab/>
            </w:r>
            <w:r>
              <w:rPr>
                <w:webHidden/>
              </w:rPr>
              <w:fldChar w:fldCharType="begin"/>
            </w:r>
            <w:r>
              <w:rPr>
                <w:webHidden/>
              </w:rPr>
              <w:instrText xml:space="preserve"> PAGEREF _Toc198880009 \h </w:instrText>
            </w:r>
            <w:r>
              <w:rPr>
                <w:webHidden/>
              </w:rPr>
            </w:r>
            <w:r>
              <w:rPr>
                <w:webHidden/>
              </w:rPr>
              <w:fldChar w:fldCharType="separate"/>
            </w:r>
            <w:r>
              <w:rPr>
                <w:webHidden/>
              </w:rPr>
              <w:t>39</w:t>
            </w:r>
            <w:r>
              <w:rPr>
                <w:webHidden/>
              </w:rPr>
              <w:fldChar w:fldCharType="end"/>
            </w:r>
          </w:hyperlink>
        </w:p>
        <w:p w14:paraId="247D9DF6" w14:textId="594B37B5" w:rsidR="00047978" w:rsidRDefault="00047978">
          <w:pPr>
            <w:pStyle w:val="TOC1"/>
            <w:rPr>
              <w:rFonts w:asciiTheme="minorHAnsi" w:eastAsiaTheme="minorEastAsia" w:hAnsiTheme="minorHAnsi"/>
              <w:sz w:val="24"/>
              <w:szCs w:val="24"/>
              <w:lang w:eastAsia="en-GB"/>
            </w:rPr>
          </w:pPr>
          <w:hyperlink w:anchor="_Toc198880010" w:history="1">
            <w:r w:rsidRPr="00696B44">
              <w:rPr>
                <w:rStyle w:val="Hyperlink"/>
                <w:rFonts w:ascii="Arial" w:hAnsi="Arial" w:cs="Arial"/>
              </w:rPr>
              <w:t>RTPI - Royal Town Planning Institute</w:t>
            </w:r>
            <w:r>
              <w:rPr>
                <w:webHidden/>
              </w:rPr>
              <w:tab/>
            </w:r>
            <w:r>
              <w:rPr>
                <w:webHidden/>
              </w:rPr>
              <w:fldChar w:fldCharType="begin"/>
            </w:r>
            <w:r>
              <w:rPr>
                <w:webHidden/>
              </w:rPr>
              <w:instrText xml:space="preserve"> PAGEREF _Toc198880010 \h </w:instrText>
            </w:r>
            <w:r>
              <w:rPr>
                <w:webHidden/>
              </w:rPr>
            </w:r>
            <w:r>
              <w:rPr>
                <w:webHidden/>
              </w:rPr>
              <w:fldChar w:fldCharType="separate"/>
            </w:r>
            <w:r>
              <w:rPr>
                <w:webHidden/>
              </w:rPr>
              <w:t>39</w:t>
            </w:r>
            <w:r>
              <w:rPr>
                <w:webHidden/>
              </w:rPr>
              <w:fldChar w:fldCharType="end"/>
            </w:r>
          </w:hyperlink>
        </w:p>
        <w:p w14:paraId="185EF7C5" w14:textId="2C2C4C35" w:rsidR="00DC4BC8" w:rsidRDefault="00DC4BC8">
          <w:r>
            <w:rPr>
              <w:b/>
              <w:bCs/>
              <w:noProof/>
            </w:rPr>
            <w:fldChar w:fldCharType="end"/>
          </w:r>
        </w:p>
      </w:sdtContent>
    </w:sdt>
    <w:p w14:paraId="6A234BFB" w14:textId="0DE1AE26" w:rsidR="0024575A" w:rsidRPr="00BE538F" w:rsidRDefault="0024575A" w:rsidP="008F0AC2">
      <w:pPr>
        <w:rPr>
          <w:rFonts w:ascii="Arial" w:hAnsi="Arial" w:cs="Arial"/>
          <w:b/>
        </w:rPr>
      </w:pPr>
      <w:bookmarkStart w:id="4" w:name="_Toc188013943"/>
    </w:p>
    <w:p w14:paraId="2C488471" w14:textId="6BA54B87" w:rsidR="009E4E5B" w:rsidRDefault="009E4E5B">
      <w:pPr>
        <w:rPr>
          <w:rFonts w:ascii="Arial" w:hAnsi="Arial" w:cs="Arial"/>
        </w:rPr>
      </w:pPr>
    </w:p>
    <w:p w14:paraId="7FE441F7" w14:textId="77777777" w:rsidR="009E4E5B" w:rsidRDefault="009E4E5B">
      <w:pPr>
        <w:rPr>
          <w:rFonts w:ascii="Arial" w:hAnsi="Arial" w:cs="Arial"/>
        </w:rPr>
      </w:pPr>
    </w:p>
    <w:p w14:paraId="4E718225" w14:textId="77777777" w:rsidR="009E4E5B" w:rsidRDefault="009E4E5B">
      <w:pPr>
        <w:rPr>
          <w:rFonts w:ascii="Arial" w:hAnsi="Arial" w:cs="Arial"/>
        </w:rPr>
      </w:pPr>
    </w:p>
    <w:p w14:paraId="26F691BC" w14:textId="77777777" w:rsidR="009E4E5B" w:rsidRDefault="009E4E5B">
      <w:pPr>
        <w:rPr>
          <w:rFonts w:ascii="Arial" w:hAnsi="Arial" w:cs="Arial"/>
        </w:rPr>
      </w:pPr>
    </w:p>
    <w:p w14:paraId="041CD68A" w14:textId="77777777" w:rsidR="009E4E5B" w:rsidRDefault="009E4E5B">
      <w:pPr>
        <w:rPr>
          <w:rFonts w:ascii="Arial" w:hAnsi="Arial" w:cs="Arial"/>
        </w:rPr>
      </w:pPr>
    </w:p>
    <w:p w14:paraId="62D12279" w14:textId="77777777" w:rsidR="009E4E5B" w:rsidRDefault="009E4E5B">
      <w:pPr>
        <w:rPr>
          <w:rFonts w:ascii="Arial" w:hAnsi="Arial" w:cs="Arial"/>
        </w:rPr>
      </w:pPr>
    </w:p>
    <w:p w14:paraId="77E7EB25" w14:textId="77777777" w:rsidR="009E4E5B" w:rsidRDefault="009E4E5B">
      <w:pPr>
        <w:rPr>
          <w:rFonts w:ascii="Arial" w:hAnsi="Arial" w:cs="Arial"/>
        </w:rPr>
      </w:pPr>
    </w:p>
    <w:p w14:paraId="7BF8CF6E" w14:textId="77777777" w:rsidR="009E4E5B" w:rsidRDefault="009E4E5B">
      <w:pPr>
        <w:rPr>
          <w:rFonts w:ascii="Arial" w:hAnsi="Arial" w:cs="Arial"/>
        </w:rPr>
      </w:pPr>
    </w:p>
    <w:p w14:paraId="7ACE560F" w14:textId="77777777" w:rsidR="009E4E5B" w:rsidRDefault="009E4E5B">
      <w:pPr>
        <w:rPr>
          <w:rFonts w:ascii="Arial" w:hAnsi="Arial" w:cs="Arial"/>
        </w:rPr>
      </w:pPr>
    </w:p>
    <w:p w14:paraId="445BC97E" w14:textId="77777777" w:rsidR="009E4E5B" w:rsidRDefault="009E4E5B">
      <w:pPr>
        <w:rPr>
          <w:rFonts w:ascii="Arial" w:hAnsi="Arial" w:cs="Arial"/>
        </w:rPr>
      </w:pPr>
    </w:p>
    <w:p w14:paraId="7C044CCC" w14:textId="77777777" w:rsidR="009E4E5B" w:rsidRDefault="009E4E5B">
      <w:pPr>
        <w:rPr>
          <w:rFonts w:ascii="Arial" w:hAnsi="Arial" w:cs="Arial"/>
        </w:rPr>
      </w:pPr>
    </w:p>
    <w:p w14:paraId="5019E4BC" w14:textId="77777777" w:rsidR="009E4E5B" w:rsidRDefault="009E4E5B">
      <w:pPr>
        <w:rPr>
          <w:rFonts w:ascii="Arial" w:hAnsi="Arial" w:cs="Arial"/>
        </w:rPr>
      </w:pPr>
    </w:p>
    <w:p w14:paraId="38243233" w14:textId="77777777" w:rsidR="009E4E5B" w:rsidRDefault="009E4E5B">
      <w:pPr>
        <w:rPr>
          <w:rFonts w:ascii="Arial" w:hAnsi="Arial" w:cs="Arial"/>
        </w:rPr>
      </w:pPr>
    </w:p>
    <w:p w14:paraId="2598E2B2" w14:textId="77777777" w:rsidR="009E4E5B" w:rsidRDefault="009E4E5B">
      <w:pPr>
        <w:rPr>
          <w:rFonts w:ascii="Arial" w:hAnsi="Arial" w:cs="Arial"/>
        </w:rPr>
      </w:pPr>
    </w:p>
    <w:p w14:paraId="11C5E69E" w14:textId="77777777" w:rsidR="009E4E5B" w:rsidRDefault="009E4E5B">
      <w:pPr>
        <w:rPr>
          <w:rFonts w:ascii="Arial" w:hAnsi="Arial" w:cs="Arial"/>
        </w:rPr>
      </w:pPr>
    </w:p>
    <w:p w14:paraId="70DF8228" w14:textId="77777777" w:rsidR="009E4E5B" w:rsidRDefault="009E4E5B">
      <w:pPr>
        <w:rPr>
          <w:rFonts w:ascii="Arial" w:hAnsi="Arial" w:cs="Arial"/>
        </w:rPr>
      </w:pPr>
    </w:p>
    <w:p w14:paraId="4799590F" w14:textId="77777777" w:rsidR="009E4E5B" w:rsidRDefault="009E4E5B">
      <w:pPr>
        <w:rPr>
          <w:rFonts w:ascii="Arial" w:hAnsi="Arial" w:cs="Arial"/>
        </w:rPr>
      </w:pPr>
    </w:p>
    <w:p w14:paraId="1AA7B8D3" w14:textId="77777777" w:rsidR="009E4E5B" w:rsidRDefault="009E4E5B">
      <w:pPr>
        <w:rPr>
          <w:rFonts w:ascii="Arial" w:hAnsi="Arial" w:cs="Arial"/>
        </w:rPr>
      </w:pPr>
    </w:p>
    <w:p w14:paraId="0F64254E" w14:textId="77777777" w:rsidR="009E4E5B" w:rsidRDefault="009E4E5B">
      <w:pPr>
        <w:rPr>
          <w:rFonts w:ascii="Arial" w:hAnsi="Arial" w:cs="Arial"/>
        </w:rPr>
      </w:pPr>
    </w:p>
    <w:p w14:paraId="7C3574A4" w14:textId="77777777" w:rsidR="009E4E5B" w:rsidRDefault="009E4E5B">
      <w:pPr>
        <w:rPr>
          <w:rFonts w:ascii="Arial" w:hAnsi="Arial" w:cs="Arial"/>
        </w:rPr>
      </w:pPr>
    </w:p>
    <w:p w14:paraId="31B0D837" w14:textId="77777777" w:rsidR="009E4E5B" w:rsidRDefault="009E4E5B">
      <w:pPr>
        <w:rPr>
          <w:rFonts w:ascii="Arial" w:hAnsi="Arial" w:cs="Arial"/>
        </w:rPr>
      </w:pPr>
    </w:p>
    <w:p w14:paraId="64B590BF" w14:textId="77777777" w:rsidR="009E4E5B" w:rsidRDefault="009E4E5B">
      <w:pPr>
        <w:rPr>
          <w:rFonts w:ascii="Arial" w:hAnsi="Arial" w:cs="Arial"/>
        </w:rPr>
      </w:pPr>
    </w:p>
    <w:p w14:paraId="19BED38B" w14:textId="183F8723" w:rsidR="009E4E5B" w:rsidRPr="00BE538F" w:rsidRDefault="00A67D2F">
      <w:pPr>
        <w:rPr>
          <w:rFonts w:ascii="Arial" w:hAnsi="Arial" w:cs="Arial"/>
        </w:rPr>
      </w:pPr>
      <w:r>
        <w:rPr>
          <w:rFonts w:ascii="Arial" w:hAnsi="Arial" w:cs="Arial"/>
        </w:rPr>
        <w:br w:type="page"/>
      </w:r>
    </w:p>
    <w:p w14:paraId="1FA9C61B" w14:textId="2783E855" w:rsidR="009E4E5B" w:rsidRPr="00BE538F" w:rsidRDefault="00F048F6" w:rsidP="00BE538F">
      <w:pPr>
        <w:pStyle w:val="Heading1"/>
        <w:rPr>
          <w:rFonts w:ascii="Arial" w:hAnsi="Arial" w:cs="Arial"/>
        </w:rPr>
      </w:pPr>
      <w:bookmarkStart w:id="5" w:name="_Toc198879947"/>
      <w:r w:rsidRPr="00036187">
        <w:rPr>
          <w:rFonts w:ascii="Arial" w:hAnsi="Arial" w:cs="Arial"/>
        </w:rPr>
        <w:lastRenderedPageBreak/>
        <w:t xml:space="preserve">1. </w:t>
      </w:r>
      <w:r w:rsidR="00EB3550" w:rsidRPr="00BE538F">
        <w:rPr>
          <w:rStyle w:val="Heading1Char"/>
          <w:rFonts w:ascii="Arial" w:hAnsi="Arial" w:cs="Arial"/>
        </w:rPr>
        <w:t>Introductio</w:t>
      </w:r>
      <w:r w:rsidR="009E4E5B" w:rsidRPr="00BE538F">
        <w:rPr>
          <w:rStyle w:val="Heading1Char"/>
          <w:rFonts w:ascii="Arial" w:hAnsi="Arial" w:cs="Arial"/>
        </w:rPr>
        <w:t>n</w:t>
      </w:r>
      <w:bookmarkEnd w:id="4"/>
      <w:bookmarkEnd w:id="5"/>
    </w:p>
    <w:p w14:paraId="2EB13932" w14:textId="5D0CA8E0" w:rsidR="00210A9E" w:rsidRPr="00BE538F" w:rsidRDefault="00967EE4" w:rsidP="00BE538F">
      <w:pPr>
        <w:spacing w:line="360" w:lineRule="auto"/>
        <w:rPr>
          <w:rFonts w:ascii="Arial" w:hAnsi="Arial" w:cs="Arial"/>
          <w:b/>
          <w:bCs/>
          <w:sz w:val="24"/>
          <w:szCs w:val="24"/>
        </w:rPr>
      </w:pPr>
      <w:r w:rsidRPr="00BE538F">
        <w:rPr>
          <w:rFonts w:ascii="Arial" w:hAnsi="Arial" w:cs="Arial"/>
          <w:b/>
          <w:bCs/>
          <w:sz w:val="24"/>
          <w:szCs w:val="24"/>
        </w:rPr>
        <w:t xml:space="preserve">This </w:t>
      </w:r>
      <w:r w:rsidR="00210A9E" w:rsidRPr="00BE538F">
        <w:rPr>
          <w:rFonts w:ascii="Arial" w:hAnsi="Arial" w:cs="Arial"/>
          <w:b/>
          <w:bCs/>
          <w:sz w:val="24"/>
          <w:szCs w:val="24"/>
        </w:rPr>
        <w:t>resource provides an overview of the major siting constraints and considerations for renewable energy projects in the UK.</w:t>
      </w:r>
    </w:p>
    <w:p w14:paraId="6EEF74F1" w14:textId="1368BBB1" w:rsidR="00715534" w:rsidRPr="00BE538F" w:rsidRDefault="00967EE4" w:rsidP="00BE538F">
      <w:pPr>
        <w:spacing w:line="360" w:lineRule="auto"/>
        <w:rPr>
          <w:rFonts w:ascii="Arial" w:hAnsi="Arial" w:cs="Arial"/>
          <w:sz w:val="24"/>
          <w:szCs w:val="24"/>
        </w:rPr>
      </w:pPr>
      <w:r w:rsidRPr="00BE538F">
        <w:rPr>
          <w:rFonts w:ascii="Arial" w:hAnsi="Arial" w:cs="Arial"/>
          <w:sz w:val="24"/>
          <w:szCs w:val="24"/>
        </w:rPr>
        <w:t xml:space="preserve">In addition, </w:t>
      </w:r>
      <w:r w:rsidR="00210A9E" w:rsidRPr="00BE538F">
        <w:rPr>
          <w:rFonts w:ascii="Arial" w:hAnsi="Arial" w:cs="Arial"/>
          <w:sz w:val="24"/>
          <w:szCs w:val="24"/>
          <w:highlight w:val="yellow"/>
        </w:rPr>
        <w:t>Part 12</w:t>
      </w:r>
      <w:r w:rsidR="00210A9E" w:rsidRPr="00BE538F">
        <w:rPr>
          <w:rFonts w:ascii="Arial" w:hAnsi="Arial" w:cs="Arial"/>
          <w:sz w:val="24"/>
          <w:szCs w:val="24"/>
        </w:rPr>
        <w:t xml:space="preserve"> reviews </w:t>
      </w:r>
      <w:r w:rsidR="00B96EC3" w:rsidRPr="00BE538F">
        <w:rPr>
          <w:rFonts w:ascii="Arial" w:hAnsi="Arial" w:cs="Arial"/>
          <w:sz w:val="24"/>
          <w:szCs w:val="24"/>
        </w:rPr>
        <w:t xml:space="preserve">policy themes </w:t>
      </w:r>
      <w:r w:rsidR="00AE30A3" w:rsidRPr="00BE538F">
        <w:rPr>
          <w:rFonts w:ascii="Arial" w:hAnsi="Arial" w:cs="Arial"/>
          <w:sz w:val="24"/>
          <w:szCs w:val="24"/>
        </w:rPr>
        <w:t>and technologies which are less well supported by policy and guidance in each of the nations</w:t>
      </w:r>
      <w:r w:rsidRPr="00BE538F">
        <w:rPr>
          <w:rFonts w:ascii="Arial" w:hAnsi="Arial" w:cs="Arial"/>
          <w:sz w:val="24"/>
          <w:szCs w:val="24"/>
        </w:rPr>
        <w:t>.</w:t>
      </w:r>
      <w:r w:rsidR="00AE30A3" w:rsidRPr="00BE538F">
        <w:rPr>
          <w:rFonts w:ascii="Arial" w:hAnsi="Arial" w:cs="Arial"/>
          <w:sz w:val="24"/>
          <w:szCs w:val="24"/>
        </w:rPr>
        <w:t xml:space="preserve"> </w:t>
      </w:r>
      <w:r w:rsidRPr="00BE538F">
        <w:rPr>
          <w:rFonts w:ascii="Arial" w:hAnsi="Arial" w:cs="Arial"/>
          <w:b/>
          <w:bCs/>
          <w:sz w:val="24"/>
          <w:szCs w:val="24"/>
          <w:highlight w:val="yellow"/>
        </w:rPr>
        <w:t>P</w:t>
      </w:r>
      <w:r w:rsidR="00210A9E" w:rsidRPr="00BE538F">
        <w:rPr>
          <w:rFonts w:ascii="Arial" w:hAnsi="Arial" w:cs="Arial"/>
          <w:b/>
          <w:bCs/>
          <w:sz w:val="24"/>
          <w:szCs w:val="24"/>
          <w:highlight w:val="yellow"/>
        </w:rPr>
        <w:t>art 13</w:t>
      </w:r>
      <w:r w:rsidRPr="00BE538F">
        <w:rPr>
          <w:rFonts w:ascii="Arial" w:hAnsi="Arial" w:cs="Arial"/>
          <w:b/>
          <w:bCs/>
          <w:sz w:val="24"/>
          <w:szCs w:val="24"/>
        </w:rPr>
        <w:t xml:space="preserve"> then</w:t>
      </w:r>
      <w:r w:rsidR="00AE30A3" w:rsidRPr="00BE538F">
        <w:rPr>
          <w:rFonts w:ascii="Arial" w:hAnsi="Arial" w:cs="Arial"/>
          <w:b/>
          <w:bCs/>
          <w:sz w:val="24"/>
          <w:szCs w:val="24"/>
        </w:rPr>
        <w:t xml:space="preserve"> </w:t>
      </w:r>
      <w:r w:rsidR="00262318" w:rsidRPr="00BE538F">
        <w:rPr>
          <w:rFonts w:ascii="Arial" w:hAnsi="Arial" w:cs="Arial"/>
          <w:b/>
          <w:bCs/>
          <w:sz w:val="24"/>
          <w:szCs w:val="24"/>
        </w:rPr>
        <w:t xml:space="preserve">provides recommendations to </w:t>
      </w:r>
      <w:r w:rsidR="00E50905" w:rsidRPr="00BE538F">
        <w:rPr>
          <w:rFonts w:ascii="Arial" w:hAnsi="Arial" w:cs="Arial"/>
          <w:b/>
          <w:bCs/>
          <w:sz w:val="24"/>
          <w:szCs w:val="24"/>
        </w:rPr>
        <w:t xml:space="preserve">the UK Government and devolved administrations on </w:t>
      </w:r>
      <w:r w:rsidR="00B54A79" w:rsidRPr="00BE538F">
        <w:rPr>
          <w:rFonts w:ascii="Arial" w:hAnsi="Arial" w:cs="Arial"/>
          <w:b/>
          <w:bCs/>
          <w:sz w:val="24"/>
          <w:szCs w:val="24"/>
        </w:rPr>
        <w:t xml:space="preserve">what additional guidance should be </w:t>
      </w:r>
      <w:r w:rsidRPr="00BE538F">
        <w:rPr>
          <w:rFonts w:ascii="Arial" w:hAnsi="Arial" w:cs="Arial"/>
          <w:b/>
          <w:bCs/>
          <w:sz w:val="24"/>
          <w:szCs w:val="24"/>
        </w:rPr>
        <w:t>provided</w:t>
      </w:r>
      <w:r w:rsidRPr="00BE538F">
        <w:rPr>
          <w:rFonts w:ascii="Arial" w:hAnsi="Arial" w:cs="Arial"/>
          <w:sz w:val="24"/>
          <w:szCs w:val="24"/>
        </w:rPr>
        <w:t xml:space="preserve"> </w:t>
      </w:r>
      <w:r w:rsidR="00EB14E4" w:rsidRPr="00BE538F">
        <w:rPr>
          <w:rFonts w:ascii="Arial" w:hAnsi="Arial" w:cs="Arial"/>
          <w:sz w:val="24"/>
          <w:szCs w:val="24"/>
        </w:rPr>
        <w:t xml:space="preserve">to ensure that local planners and decisions makers have the tools they need to </w:t>
      </w:r>
      <w:r w:rsidR="00DE5DCF" w:rsidRPr="00BE538F">
        <w:rPr>
          <w:rFonts w:ascii="Arial" w:hAnsi="Arial" w:cs="Arial"/>
          <w:sz w:val="24"/>
          <w:szCs w:val="24"/>
        </w:rPr>
        <w:t>effectively plan for new low carbon energy infrastructure.</w:t>
      </w:r>
    </w:p>
    <w:p w14:paraId="0A05845E" w14:textId="7A94D411" w:rsidR="00F36517" w:rsidRPr="00BE538F" w:rsidRDefault="00F048F6" w:rsidP="00A67D2F">
      <w:pPr>
        <w:pStyle w:val="Heading2"/>
        <w:rPr>
          <w:rFonts w:ascii="Arial" w:hAnsi="Arial" w:cs="Arial"/>
        </w:rPr>
      </w:pPr>
      <w:bookmarkStart w:id="6" w:name="_Toc198879948"/>
      <w:r>
        <w:rPr>
          <w:rFonts w:ascii="Arial" w:hAnsi="Arial" w:cs="Arial"/>
        </w:rPr>
        <w:t xml:space="preserve">1.1 </w:t>
      </w:r>
      <w:r w:rsidR="006225BF" w:rsidRPr="00BE538F">
        <w:rPr>
          <w:rFonts w:ascii="Arial" w:hAnsi="Arial" w:cs="Arial"/>
        </w:rPr>
        <w:t>What technologies does this guide cover, and why?</w:t>
      </w:r>
      <w:bookmarkEnd w:id="6"/>
    </w:p>
    <w:p w14:paraId="076A083F" w14:textId="1EF90068"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As an overview, this is not an exhaustive list of every consideration or consent required but rather a summary of the most relevant policy documents and guidance sources.</w:t>
      </w:r>
      <w:r w:rsidR="006002BA" w:rsidRPr="00BE538F">
        <w:rPr>
          <w:rFonts w:ascii="Arial" w:hAnsi="Arial" w:cs="Arial"/>
          <w:sz w:val="24"/>
          <w:szCs w:val="24"/>
        </w:rPr>
        <w:t xml:space="preserve"> It unpacks </w:t>
      </w:r>
      <w:r w:rsidRPr="00BE538F">
        <w:rPr>
          <w:rFonts w:ascii="Arial" w:hAnsi="Arial" w:cs="Arial"/>
          <w:sz w:val="24"/>
          <w:szCs w:val="24"/>
        </w:rPr>
        <w:t>the technical considerations that apply to the following technologies:</w:t>
      </w:r>
    </w:p>
    <w:p w14:paraId="09CB009A" w14:textId="5C6433A7" w:rsidR="00EB3550" w:rsidRPr="00BE538F" w:rsidRDefault="00EB3550" w:rsidP="00BE538F">
      <w:pPr>
        <w:pStyle w:val="ListParagraph"/>
        <w:numPr>
          <w:ilvl w:val="0"/>
          <w:numId w:val="40"/>
        </w:numPr>
        <w:spacing w:after="200" w:line="360" w:lineRule="auto"/>
        <w:rPr>
          <w:rFonts w:ascii="Arial" w:hAnsi="Arial" w:cs="Arial"/>
          <w:sz w:val="24"/>
          <w:szCs w:val="24"/>
        </w:rPr>
      </w:pPr>
      <w:r w:rsidRPr="00BE538F">
        <w:rPr>
          <w:rFonts w:ascii="Arial" w:hAnsi="Arial" w:cs="Arial"/>
          <w:sz w:val="24"/>
          <w:szCs w:val="24"/>
        </w:rPr>
        <w:t>Onshore wind</w:t>
      </w:r>
      <w:r w:rsidR="00C04DE5" w:rsidRPr="00BE538F">
        <w:rPr>
          <w:rFonts w:ascii="Arial" w:hAnsi="Arial" w:cs="Arial"/>
          <w:sz w:val="24"/>
          <w:szCs w:val="24"/>
        </w:rPr>
        <w:t>;</w:t>
      </w:r>
    </w:p>
    <w:p w14:paraId="4BE2D1C3" w14:textId="20FD343D" w:rsidR="00EB3550" w:rsidRPr="00BE538F" w:rsidRDefault="00EB3550" w:rsidP="00BE538F">
      <w:pPr>
        <w:pStyle w:val="ListParagraph"/>
        <w:numPr>
          <w:ilvl w:val="0"/>
          <w:numId w:val="40"/>
        </w:numPr>
        <w:spacing w:after="200" w:line="360" w:lineRule="auto"/>
        <w:rPr>
          <w:rFonts w:ascii="Arial" w:hAnsi="Arial" w:cs="Arial"/>
          <w:sz w:val="24"/>
          <w:szCs w:val="24"/>
        </w:rPr>
      </w:pPr>
      <w:r w:rsidRPr="00BE538F">
        <w:rPr>
          <w:rFonts w:ascii="Arial" w:hAnsi="Arial" w:cs="Arial"/>
          <w:sz w:val="24"/>
          <w:szCs w:val="24"/>
        </w:rPr>
        <w:t>Offshore wind</w:t>
      </w:r>
      <w:r w:rsidR="00C04DE5" w:rsidRPr="00BE538F">
        <w:rPr>
          <w:rFonts w:ascii="Arial" w:hAnsi="Arial" w:cs="Arial"/>
          <w:sz w:val="24"/>
          <w:szCs w:val="24"/>
        </w:rPr>
        <w:t>;</w:t>
      </w:r>
    </w:p>
    <w:p w14:paraId="5795FA0F" w14:textId="0BAE136A" w:rsidR="00EB3550" w:rsidRPr="00BE538F" w:rsidRDefault="00EB3550" w:rsidP="00BE538F">
      <w:pPr>
        <w:pStyle w:val="ListParagraph"/>
        <w:numPr>
          <w:ilvl w:val="0"/>
          <w:numId w:val="40"/>
        </w:numPr>
        <w:spacing w:after="200" w:line="360" w:lineRule="auto"/>
        <w:rPr>
          <w:rFonts w:ascii="Arial" w:hAnsi="Arial" w:cs="Arial"/>
          <w:sz w:val="24"/>
          <w:szCs w:val="24"/>
        </w:rPr>
      </w:pPr>
      <w:r w:rsidRPr="00BE538F">
        <w:rPr>
          <w:rFonts w:ascii="Arial" w:hAnsi="Arial" w:cs="Arial"/>
          <w:sz w:val="24"/>
          <w:szCs w:val="24"/>
        </w:rPr>
        <w:t>Solar</w:t>
      </w:r>
      <w:r w:rsidR="00C04DE5" w:rsidRPr="00BE538F">
        <w:rPr>
          <w:rFonts w:ascii="Arial" w:hAnsi="Arial" w:cs="Arial"/>
          <w:sz w:val="24"/>
          <w:szCs w:val="24"/>
        </w:rPr>
        <w:t>;</w:t>
      </w:r>
    </w:p>
    <w:p w14:paraId="2FA6F195" w14:textId="41F5FF2C" w:rsidR="00EB3550" w:rsidRPr="00BE538F" w:rsidRDefault="00EB3550" w:rsidP="00BE538F">
      <w:pPr>
        <w:pStyle w:val="ListParagraph"/>
        <w:numPr>
          <w:ilvl w:val="0"/>
          <w:numId w:val="40"/>
        </w:numPr>
        <w:spacing w:after="200" w:line="360" w:lineRule="auto"/>
        <w:rPr>
          <w:rFonts w:ascii="Arial" w:hAnsi="Arial" w:cs="Arial"/>
          <w:sz w:val="24"/>
          <w:szCs w:val="24"/>
        </w:rPr>
      </w:pPr>
      <w:r w:rsidRPr="00BE538F">
        <w:rPr>
          <w:rFonts w:ascii="Arial" w:hAnsi="Arial" w:cs="Arial"/>
          <w:sz w:val="24"/>
          <w:szCs w:val="24"/>
        </w:rPr>
        <w:t>Battery energy storage systems (BESS)</w:t>
      </w:r>
      <w:r w:rsidR="00C04DE5" w:rsidRPr="00BE538F">
        <w:rPr>
          <w:rFonts w:ascii="Arial" w:hAnsi="Arial" w:cs="Arial"/>
          <w:sz w:val="24"/>
          <w:szCs w:val="24"/>
        </w:rPr>
        <w:t>;</w:t>
      </w:r>
    </w:p>
    <w:p w14:paraId="328EBCB1" w14:textId="5764244C" w:rsidR="00EB3550" w:rsidRPr="00BE538F" w:rsidRDefault="00EB3550" w:rsidP="00BE538F">
      <w:pPr>
        <w:pStyle w:val="ListParagraph"/>
        <w:numPr>
          <w:ilvl w:val="0"/>
          <w:numId w:val="40"/>
        </w:numPr>
        <w:spacing w:after="200" w:line="360" w:lineRule="auto"/>
        <w:rPr>
          <w:rFonts w:ascii="Arial" w:hAnsi="Arial" w:cs="Arial"/>
          <w:sz w:val="24"/>
          <w:szCs w:val="24"/>
        </w:rPr>
      </w:pPr>
      <w:r w:rsidRPr="00BE538F">
        <w:rPr>
          <w:rFonts w:ascii="Arial" w:hAnsi="Arial" w:cs="Arial"/>
          <w:sz w:val="24"/>
          <w:szCs w:val="24"/>
        </w:rPr>
        <w:t>Hydropower</w:t>
      </w:r>
      <w:r w:rsidR="00C04DE5" w:rsidRPr="00BE538F">
        <w:rPr>
          <w:rFonts w:ascii="Arial" w:hAnsi="Arial" w:cs="Arial"/>
          <w:sz w:val="24"/>
          <w:szCs w:val="24"/>
        </w:rPr>
        <w:t>;</w:t>
      </w:r>
    </w:p>
    <w:p w14:paraId="28E9AACB" w14:textId="6C141681" w:rsidR="00EB3550" w:rsidRPr="00BE538F" w:rsidRDefault="00EB3550" w:rsidP="00BE538F">
      <w:pPr>
        <w:pStyle w:val="ListParagraph"/>
        <w:numPr>
          <w:ilvl w:val="0"/>
          <w:numId w:val="40"/>
        </w:numPr>
        <w:spacing w:after="200" w:line="360" w:lineRule="auto"/>
        <w:rPr>
          <w:rFonts w:ascii="Arial" w:hAnsi="Arial" w:cs="Arial"/>
          <w:sz w:val="24"/>
          <w:szCs w:val="24"/>
        </w:rPr>
      </w:pPr>
      <w:r w:rsidRPr="00BE538F">
        <w:rPr>
          <w:rFonts w:ascii="Arial" w:hAnsi="Arial" w:cs="Arial"/>
          <w:sz w:val="24"/>
          <w:szCs w:val="24"/>
        </w:rPr>
        <w:t>Tidal</w:t>
      </w:r>
      <w:r w:rsidR="00C04DE5" w:rsidRPr="00BE538F">
        <w:rPr>
          <w:rFonts w:ascii="Arial" w:hAnsi="Arial" w:cs="Arial"/>
          <w:sz w:val="24"/>
          <w:szCs w:val="24"/>
        </w:rPr>
        <w:t>;</w:t>
      </w:r>
    </w:p>
    <w:p w14:paraId="2749F514" w14:textId="40199340" w:rsidR="00EB3550" w:rsidRPr="00BE538F" w:rsidRDefault="00EB3550" w:rsidP="00BE538F">
      <w:pPr>
        <w:pStyle w:val="ListParagraph"/>
        <w:numPr>
          <w:ilvl w:val="0"/>
          <w:numId w:val="40"/>
        </w:numPr>
        <w:spacing w:after="200" w:line="360" w:lineRule="auto"/>
        <w:rPr>
          <w:rFonts w:ascii="Arial" w:hAnsi="Arial" w:cs="Arial"/>
          <w:sz w:val="24"/>
          <w:szCs w:val="24"/>
        </w:rPr>
      </w:pPr>
      <w:r w:rsidRPr="00BE538F">
        <w:rPr>
          <w:rFonts w:ascii="Arial" w:hAnsi="Arial" w:cs="Arial"/>
          <w:sz w:val="24"/>
          <w:szCs w:val="24"/>
        </w:rPr>
        <w:t>Hydrogen production</w:t>
      </w:r>
      <w:r w:rsidR="00C04DE5" w:rsidRPr="00BE538F">
        <w:rPr>
          <w:rFonts w:ascii="Arial" w:hAnsi="Arial" w:cs="Arial"/>
          <w:sz w:val="24"/>
          <w:szCs w:val="24"/>
        </w:rPr>
        <w:t>;</w:t>
      </w:r>
    </w:p>
    <w:p w14:paraId="5B4BD71B" w14:textId="44057F08" w:rsidR="00EB3550" w:rsidRPr="00BE538F" w:rsidRDefault="00EB3550" w:rsidP="00BE538F">
      <w:pPr>
        <w:pStyle w:val="ListParagraph"/>
        <w:numPr>
          <w:ilvl w:val="0"/>
          <w:numId w:val="40"/>
        </w:numPr>
        <w:spacing w:after="200" w:line="360" w:lineRule="auto"/>
        <w:rPr>
          <w:rFonts w:ascii="Arial" w:hAnsi="Arial" w:cs="Arial"/>
          <w:sz w:val="24"/>
          <w:szCs w:val="24"/>
        </w:rPr>
      </w:pPr>
      <w:r w:rsidRPr="00BE538F">
        <w:rPr>
          <w:rFonts w:ascii="Arial" w:hAnsi="Arial" w:cs="Arial"/>
          <w:sz w:val="24"/>
          <w:szCs w:val="24"/>
        </w:rPr>
        <w:t>Pylons and grid infrastructure</w:t>
      </w:r>
      <w:r w:rsidR="00C04DE5" w:rsidRPr="00BE538F">
        <w:rPr>
          <w:rFonts w:ascii="Arial" w:hAnsi="Arial" w:cs="Arial"/>
          <w:sz w:val="24"/>
          <w:szCs w:val="24"/>
        </w:rPr>
        <w:t>; and</w:t>
      </w:r>
    </w:p>
    <w:p w14:paraId="580280E5" w14:textId="398EDACE" w:rsidR="00585090" w:rsidRPr="00BE538F" w:rsidRDefault="00EB3550" w:rsidP="00BE538F">
      <w:pPr>
        <w:pStyle w:val="ListParagraph"/>
        <w:numPr>
          <w:ilvl w:val="0"/>
          <w:numId w:val="40"/>
        </w:numPr>
        <w:spacing w:after="200" w:line="360" w:lineRule="auto"/>
        <w:rPr>
          <w:rFonts w:ascii="Arial" w:hAnsi="Arial" w:cs="Arial"/>
          <w:sz w:val="24"/>
          <w:szCs w:val="24"/>
        </w:rPr>
      </w:pPr>
      <w:r w:rsidRPr="00BE538F">
        <w:rPr>
          <w:rFonts w:ascii="Arial" w:hAnsi="Arial" w:cs="Arial"/>
          <w:sz w:val="24"/>
          <w:szCs w:val="24"/>
        </w:rPr>
        <w:t>Heat networks.</w:t>
      </w:r>
      <w:r w:rsidRPr="00BE538F">
        <w:rPr>
          <w:rFonts w:ascii="Arial" w:hAnsi="Arial" w:cs="Arial"/>
          <w:sz w:val="24"/>
          <w:szCs w:val="24"/>
        </w:rPr>
        <w:tab/>
      </w:r>
    </w:p>
    <w:p w14:paraId="220668FA" w14:textId="77777777" w:rsidR="00AB5CC1" w:rsidRPr="00BE538F" w:rsidRDefault="00EB3550" w:rsidP="00BE538F">
      <w:pPr>
        <w:spacing w:line="360" w:lineRule="auto"/>
        <w:rPr>
          <w:rFonts w:ascii="Arial" w:hAnsi="Arial" w:cs="Arial"/>
          <w:sz w:val="24"/>
          <w:szCs w:val="24"/>
        </w:rPr>
      </w:pPr>
      <w:r w:rsidRPr="00BE538F">
        <w:rPr>
          <w:rFonts w:ascii="Arial" w:hAnsi="Arial" w:cs="Arial"/>
          <w:sz w:val="24"/>
          <w:szCs w:val="24"/>
        </w:rPr>
        <w:t>This list represents the technologies identified by Regen and the RTPI as both the most crucial for driving forward the transition to net zero</w:t>
      </w:r>
      <w:r w:rsidR="00AB5CC1" w:rsidRPr="00BE538F">
        <w:rPr>
          <w:rFonts w:ascii="Arial" w:hAnsi="Arial" w:cs="Arial"/>
          <w:sz w:val="24"/>
          <w:szCs w:val="24"/>
        </w:rPr>
        <w:t>,</w:t>
      </w:r>
      <w:r w:rsidRPr="00BE538F">
        <w:rPr>
          <w:rFonts w:ascii="Arial" w:hAnsi="Arial" w:cs="Arial"/>
          <w:sz w:val="24"/>
          <w:szCs w:val="24"/>
        </w:rPr>
        <w:t xml:space="preserve"> and those that local planning authorities are most likely to be involved in applications for in the coming years.</w:t>
      </w:r>
    </w:p>
    <w:p w14:paraId="3F2DD58C" w14:textId="1D48BB7A" w:rsidR="00AB5CC1" w:rsidRPr="00BE538F" w:rsidRDefault="00A35A3B" w:rsidP="00BE538F">
      <w:pPr>
        <w:spacing w:line="360" w:lineRule="auto"/>
        <w:rPr>
          <w:rFonts w:ascii="Arial" w:hAnsi="Arial" w:cs="Arial"/>
          <w:sz w:val="24"/>
          <w:szCs w:val="24"/>
        </w:rPr>
      </w:pPr>
      <w:r w:rsidRPr="00BE538F">
        <w:rPr>
          <w:rFonts w:ascii="Arial" w:hAnsi="Arial" w:cs="Arial"/>
          <w:sz w:val="24"/>
          <w:szCs w:val="24"/>
        </w:rPr>
        <w:t>The figure below</w:t>
      </w:r>
      <w:r w:rsidR="00EB3550" w:rsidRPr="00BE538F">
        <w:rPr>
          <w:rFonts w:ascii="Arial" w:hAnsi="Arial" w:cs="Arial"/>
          <w:sz w:val="24"/>
          <w:szCs w:val="24"/>
        </w:rPr>
        <w:t xml:space="preserve"> </w:t>
      </w:r>
      <w:r w:rsidR="00527B0F" w:rsidRPr="00BE538F">
        <w:rPr>
          <w:rFonts w:ascii="Arial" w:hAnsi="Arial" w:cs="Arial"/>
          <w:sz w:val="24"/>
          <w:szCs w:val="24"/>
        </w:rPr>
        <w:t xml:space="preserve">illustrates </w:t>
      </w:r>
      <w:r w:rsidR="00EB3550" w:rsidRPr="00BE538F">
        <w:rPr>
          <w:rFonts w:ascii="Arial" w:hAnsi="Arial" w:cs="Arial"/>
          <w:sz w:val="24"/>
          <w:szCs w:val="24"/>
        </w:rPr>
        <w:t xml:space="preserve">the change in technology mix required to </w:t>
      </w:r>
      <w:r w:rsidR="00AB5CC1" w:rsidRPr="00BE538F">
        <w:rPr>
          <w:rFonts w:ascii="Arial" w:hAnsi="Arial" w:cs="Arial"/>
          <w:sz w:val="24"/>
          <w:szCs w:val="24"/>
        </w:rPr>
        <w:t>achieve</w:t>
      </w:r>
      <w:r w:rsidR="00BF4131" w:rsidRPr="00BE538F">
        <w:rPr>
          <w:rFonts w:ascii="Arial" w:hAnsi="Arial" w:cs="Arial"/>
          <w:sz w:val="24"/>
          <w:szCs w:val="24"/>
        </w:rPr>
        <w:t xml:space="preserve"> the UK Government’s</w:t>
      </w:r>
      <w:r w:rsidR="00AB5CC1" w:rsidRPr="00BE538F">
        <w:rPr>
          <w:rFonts w:ascii="Arial" w:hAnsi="Arial" w:cs="Arial"/>
          <w:sz w:val="24"/>
          <w:szCs w:val="24"/>
        </w:rPr>
        <w:t xml:space="preserve"> </w:t>
      </w:r>
      <w:r w:rsidR="00EB3550" w:rsidRPr="00BE538F">
        <w:rPr>
          <w:rFonts w:ascii="Arial" w:hAnsi="Arial" w:cs="Arial"/>
          <w:sz w:val="24"/>
          <w:szCs w:val="24"/>
        </w:rPr>
        <w:t>Clean Power 2030 (CP2030)</w:t>
      </w:r>
      <w:r w:rsidR="00BF4131" w:rsidRPr="00BE538F">
        <w:rPr>
          <w:rFonts w:ascii="Arial" w:hAnsi="Arial" w:cs="Arial"/>
          <w:sz w:val="24"/>
          <w:szCs w:val="24"/>
        </w:rPr>
        <w:t xml:space="preserve"> target</w:t>
      </w:r>
      <w:r w:rsidR="00F75CC1" w:rsidRPr="00BE538F">
        <w:rPr>
          <w:rFonts w:ascii="Arial" w:hAnsi="Arial" w:cs="Arial"/>
          <w:sz w:val="24"/>
          <w:szCs w:val="24"/>
        </w:rPr>
        <w:t xml:space="preserve"> </w:t>
      </w:r>
      <w:hyperlink r:id="rId13" w:history="1">
        <w:r w:rsidR="00F75CC1" w:rsidRPr="00BE538F">
          <w:rPr>
            <w:rStyle w:val="Hyperlink"/>
            <w:rFonts w:ascii="Arial" w:hAnsi="Arial" w:cs="Arial"/>
            <w:sz w:val="24"/>
            <w:szCs w:val="24"/>
          </w:rPr>
          <w:t>(DESNZ, 2025)</w:t>
        </w:r>
      </w:hyperlink>
      <w:r w:rsidR="00EB3550" w:rsidRPr="00BE538F">
        <w:rPr>
          <w:rFonts w:ascii="Arial" w:hAnsi="Arial" w:cs="Arial"/>
          <w:sz w:val="24"/>
          <w:szCs w:val="24"/>
        </w:rPr>
        <w:t>, as identified by NESO</w:t>
      </w:r>
      <w:r w:rsidR="00AB5CC1" w:rsidRPr="00BE538F">
        <w:rPr>
          <w:rFonts w:ascii="Arial" w:hAnsi="Arial" w:cs="Arial"/>
          <w:sz w:val="24"/>
          <w:szCs w:val="24"/>
        </w:rPr>
        <w:t xml:space="preserve"> </w:t>
      </w:r>
      <w:hyperlink r:id="rId14" w:history="1">
        <w:r w:rsidR="00AB5CC1" w:rsidRPr="00BE538F">
          <w:rPr>
            <w:rStyle w:val="Hyperlink"/>
            <w:rFonts w:ascii="Arial" w:hAnsi="Arial" w:cs="Arial"/>
            <w:sz w:val="24"/>
            <w:szCs w:val="24"/>
          </w:rPr>
          <w:t>(NESO, 2030)</w:t>
        </w:r>
      </w:hyperlink>
      <w:r w:rsidR="00EB3550" w:rsidRPr="00BE538F">
        <w:rPr>
          <w:rFonts w:ascii="Arial" w:hAnsi="Arial" w:cs="Arial"/>
          <w:sz w:val="24"/>
          <w:szCs w:val="24"/>
        </w:rPr>
        <w:t>.</w:t>
      </w:r>
      <w:r w:rsidR="00BB5C12" w:rsidRPr="00BE538F">
        <w:rPr>
          <w:rFonts w:ascii="Arial" w:hAnsi="Arial" w:cs="Arial"/>
          <w:sz w:val="24"/>
          <w:szCs w:val="24"/>
        </w:rPr>
        <w:t xml:space="preserve"> </w:t>
      </w:r>
      <w:r w:rsidR="00BF4131" w:rsidRPr="00BE538F">
        <w:rPr>
          <w:rFonts w:ascii="Arial" w:hAnsi="Arial" w:cs="Arial"/>
          <w:sz w:val="24"/>
          <w:szCs w:val="24"/>
        </w:rPr>
        <w:t>CP2030</w:t>
      </w:r>
      <w:r w:rsidR="00DC4ADF" w:rsidRPr="00BE538F">
        <w:rPr>
          <w:rFonts w:ascii="Arial" w:hAnsi="Arial" w:cs="Arial"/>
          <w:sz w:val="24"/>
          <w:szCs w:val="24"/>
        </w:rPr>
        <w:t xml:space="preserve"> aims to achieve a clean power system by 2030, meaning that clean power sources should produce at least as much power as Great </w:t>
      </w:r>
      <w:r w:rsidR="00DC4ADF" w:rsidRPr="00BE538F">
        <w:rPr>
          <w:rFonts w:ascii="Arial" w:hAnsi="Arial" w:cs="Arial"/>
          <w:sz w:val="24"/>
          <w:szCs w:val="24"/>
        </w:rPr>
        <w:lastRenderedPageBreak/>
        <w:t>Britain consumes in total over the whole year, and at least 95% of Great Britain’s generation</w:t>
      </w:r>
      <w:r w:rsidR="00140BAE" w:rsidRPr="00BE538F">
        <w:rPr>
          <w:rFonts w:ascii="Arial" w:hAnsi="Arial" w:cs="Arial"/>
          <w:sz w:val="24"/>
          <w:szCs w:val="24"/>
        </w:rPr>
        <w:t>.</w:t>
      </w:r>
    </w:p>
    <w:p w14:paraId="613AC315" w14:textId="77777777" w:rsidR="00AB5CC1" w:rsidRPr="00BE538F" w:rsidRDefault="00AB5CC1" w:rsidP="00527B0F">
      <w:pPr>
        <w:rPr>
          <w:rFonts w:ascii="Arial" w:hAnsi="Arial" w:cs="Arial"/>
          <w:i/>
          <w:iCs/>
          <w:color w:val="FF0000"/>
          <w:sz w:val="24"/>
          <w:szCs w:val="24"/>
        </w:rPr>
      </w:pPr>
      <w:r w:rsidRPr="00BE538F">
        <w:rPr>
          <w:rFonts w:ascii="Arial" w:hAnsi="Arial" w:cs="Arial"/>
          <w:color w:val="FF0000"/>
        </w:rPr>
        <w:br w:type="page"/>
      </w:r>
    </w:p>
    <w:p w14:paraId="7DC094FA" w14:textId="2C655948" w:rsidR="00EB3550" w:rsidRPr="00BE538F" w:rsidRDefault="00EB3550" w:rsidP="00BE538F">
      <w:pPr>
        <w:pStyle w:val="Caption"/>
        <w:spacing w:line="276" w:lineRule="auto"/>
        <w:rPr>
          <w:rFonts w:ascii="Arial" w:hAnsi="Arial" w:cs="Arial"/>
        </w:rPr>
      </w:pPr>
      <w:r w:rsidRPr="00BE538F">
        <w:rPr>
          <w:rFonts w:ascii="Arial" w:hAnsi="Arial" w:cs="Arial"/>
          <w:color w:val="auto"/>
        </w:rPr>
        <w:lastRenderedPageBreak/>
        <w:t>Figure</w:t>
      </w:r>
      <w:r w:rsidR="00585090">
        <w:rPr>
          <w:rFonts w:ascii="Arial" w:hAnsi="Arial" w:cs="Arial"/>
          <w:color w:val="auto"/>
        </w:rPr>
        <w:t xml:space="preserve"> 1</w:t>
      </w:r>
      <w:r w:rsidRPr="00BE538F">
        <w:rPr>
          <w:rFonts w:ascii="Arial" w:hAnsi="Arial" w:cs="Arial"/>
          <w:color w:val="auto"/>
        </w:rPr>
        <w:t xml:space="preserve">: Generation </w:t>
      </w:r>
      <w:r w:rsidRPr="00BE538F">
        <w:rPr>
          <w:rFonts w:ascii="Arial" w:hAnsi="Arial" w:cs="Arial"/>
        </w:rPr>
        <w:t>from different sources in future energy scenarios</w:t>
      </w:r>
    </w:p>
    <w:p w14:paraId="60203FBE" w14:textId="7FB433EB" w:rsidR="00EB3550" w:rsidRPr="00BE538F" w:rsidRDefault="00400926" w:rsidP="00527B0F">
      <w:pPr>
        <w:rPr>
          <w:rFonts w:ascii="Arial" w:hAnsi="Arial" w:cs="Arial"/>
        </w:rPr>
      </w:pPr>
      <w:r w:rsidRPr="00BE538F">
        <w:rPr>
          <w:rFonts w:ascii="Arial" w:hAnsi="Arial" w:cs="Arial"/>
          <w:noProof/>
          <w:color w:val="FF0000"/>
        </w:rPr>
        <w:drawing>
          <wp:anchor distT="0" distB="0" distL="114300" distR="114300" simplePos="0" relativeHeight="251658240" behindDoc="0" locked="0" layoutInCell="1" allowOverlap="1" wp14:anchorId="2F043F5D" wp14:editId="41981043">
            <wp:simplePos x="0" y="0"/>
            <wp:positionH relativeFrom="margin">
              <wp:posOffset>-191386</wp:posOffset>
            </wp:positionH>
            <wp:positionV relativeFrom="paragraph">
              <wp:posOffset>73675</wp:posOffset>
            </wp:positionV>
            <wp:extent cx="5975350" cy="8420986"/>
            <wp:effectExtent l="0" t="0" r="6350" b="18415"/>
            <wp:wrapNone/>
            <wp:docPr id="373746506" name="Chart 1">
              <a:extLst xmlns:a="http://schemas.openxmlformats.org/drawingml/2006/main">
                <a:ext uri="{FF2B5EF4-FFF2-40B4-BE49-F238E27FC236}">
                  <a16:creationId xmlns:a16="http://schemas.microsoft.com/office/drawing/2014/main" id="{BF93510D-4143-4A3B-9054-D43B9B7E9B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7F5E44DB" w14:textId="77777777" w:rsidR="000B178D" w:rsidRPr="00BE538F" w:rsidRDefault="000B178D" w:rsidP="00527B0F">
      <w:pPr>
        <w:rPr>
          <w:rFonts w:ascii="Arial" w:hAnsi="Arial" w:cs="Arial"/>
        </w:rPr>
      </w:pPr>
    </w:p>
    <w:p w14:paraId="5D81FC25" w14:textId="77777777" w:rsidR="000B178D" w:rsidRPr="00BE538F" w:rsidRDefault="000B178D" w:rsidP="00527B0F">
      <w:pPr>
        <w:rPr>
          <w:rFonts w:ascii="Arial" w:hAnsi="Arial" w:cs="Arial"/>
        </w:rPr>
      </w:pPr>
    </w:p>
    <w:p w14:paraId="652EDBD3" w14:textId="77777777" w:rsidR="000B178D" w:rsidRPr="00BE538F" w:rsidRDefault="000B178D" w:rsidP="00527B0F">
      <w:pPr>
        <w:rPr>
          <w:rFonts w:ascii="Arial" w:hAnsi="Arial" w:cs="Arial"/>
        </w:rPr>
      </w:pPr>
    </w:p>
    <w:p w14:paraId="42F539EB" w14:textId="77777777" w:rsidR="000B178D" w:rsidRPr="00BE538F" w:rsidRDefault="000B178D" w:rsidP="00527B0F">
      <w:pPr>
        <w:rPr>
          <w:rFonts w:ascii="Arial" w:hAnsi="Arial" w:cs="Arial"/>
        </w:rPr>
      </w:pPr>
    </w:p>
    <w:p w14:paraId="78F82572" w14:textId="77777777" w:rsidR="000B178D" w:rsidRPr="00BE538F" w:rsidRDefault="000B178D" w:rsidP="00527B0F">
      <w:pPr>
        <w:rPr>
          <w:rFonts w:ascii="Arial" w:hAnsi="Arial" w:cs="Arial"/>
        </w:rPr>
      </w:pPr>
    </w:p>
    <w:p w14:paraId="3816D571" w14:textId="77777777" w:rsidR="000B178D" w:rsidRPr="00BE538F" w:rsidRDefault="000B178D" w:rsidP="00527B0F">
      <w:pPr>
        <w:rPr>
          <w:rFonts w:ascii="Arial" w:hAnsi="Arial" w:cs="Arial"/>
        </w:rPr>
      </w:pPr>
    </w:p>
    <w:p w14:paraId="2D37B039" w14:textId="77777777" w:rsidR="000B178D" w:rsidRPr="00BE538F" w:rsidRDefault="000B178D" w:rsidP="00527B0F">
      <w:pPr>
        <w:rPr>
          <w:rFonts w:ascii="Arial" w:hAnsi="Arial" w:cs="Arial"/>
        </w:rPr>
      </w:pPr>
    </w:p>
    <w:p w14:paraId="4CCD0233" w14:textId="77777777" w:rsidR="000B178D" w:rsidRPr="00BE538F" w:rsidRDefault="000B178D" w:rsidP="00527B0F">
      <w:pPr>
        <w:rPr>
          <w:rFonts w:ascii="Arial" w:hAnsi="Arial" w:cs="Arial"/>
        </w:rPr>
      </w:pPr>
    </w:p>
    <w:p w14:paraId="545FAC95" w14:textId="77777777" w:rsidR="000B178D" w:rsidRPr="00BE538F" w:rsidRDefault="000B178D" w:rsidP="00527B0F">
      <w:pPr>
        <w:rPr>
          <w:rFonts w:ascii="Arial" w:hAnsi="Arial" w:cs="Arial"/>
        </w:rPr>
      </w:pPr>
    </w:p>
    <w:p w14:paraId="046833DA" w14:textId="77777777" w:rsidR="000B178D" w:rsidRPr="00BE538F" w:rsidRDefault="000B178D" w:rsidP="00527B0F">
      <w:pPr>
        <w:rPr>
          <w:rFonts w:ascii="Arial" w:hAnsi="Arial" w:cs="Arial"/>
        </w:rPr>
      </w:pPr>
    </w:p>
    <w:p w14:paraId="47AC3384" w14:textId="77777777" w:rsidR="000B178D" w:rsidRPr="00BE538F" w:rsidRDefault="000B178D" w:rsidP="00527B0F">
      <w:pPr>
        <w:rPr>
          <w:rFonts w:ascii="Arial" w:hAnsi="Arial" w:cs="Arial"/>
        </w:rPr>
      </w:pPr>
    </w:p>
    <w:p w14:paraId="009719B5" w14:textId="77777777" w:rsidR="000B178D" w:rsidRPr="00BE538F" w:rsidRDefault="000B178D" w:rsidP="00527B0F">
      <w:pPr>
        <w:rPr>
          <w:rFonts w:ascii="Arial" w:hAnsi="Arial" w:cs="Arial"/>
        </w:rPr>
      </w:pPr>
    </w:p>
    <w:p w14:paraId="0DBAB8CA" w14:textId="77777777" w:rsidR="000B178D" w:rsidRPr="00BE538F" w:rsidRDefault="000B178D" w:rsidP="00527B0F">
      <w:pPr>
        <w:rPr>
          <w:rFonts w:ascii="Arial" w:hAnsi="Arial" w:cs="Arial"/>
        </w:rPr>
      </w:pPr>
    </w:p>
    <w:p w14:paraId="074C3590" w14:textId="77777777" w:rsidR="000B178D" w:rsidRPr="00BE538F" w:rsidRDefault="000B178D" w:rsidP="00527B0F">
      <w:pPr>
        <w:rPr>
          <w:rFonts w:ascii="Arial" w:hAnsi="Arial" w:cs="Arial"/>
        </w:rPr>
      </w:pPr>
    </w:p>
    <w:p w14:paraId="4009C5DA" w14:textId="77777777" w:rsidR="000B178D" w:rsidRPr="00BE538F" w:rsidRDefault="000B178D" w:rsidP="00527B0F">
      <w:pPr>
        <w:rPr>
          <w:rFonts w:ascii="Arial" w:hAnsi="Arial" w:cs="Arial"/>
        </w:rPr>
      </w:pPr>
    </w:p>
    <w:p w14:paraId="6136E3B2" w14:textId="77777777" w:rsidR="000B178D" w:rsidRPr="00BE538F" w:rsidRDefault="000B178D" w:rsidP="00527B0F">
      <w:pPr>
        <w:rPr>
          <w:rFonts w:ascii="Arial" w:hAnsi="Arial" w:cs="Arial"/>
        </w:rPr>
      </w:pPr>
    </w:p>
    <w:p w14:paraId="17FBE911" w14:textId="77777777" w:rsidR="000B178D" w:rsidRPr="00BE538F" w:rsidRDefault="000B178D" w:rsidP="00527B0F">
      <w:pPr>
        <w:rPr>
          <w:rFonts w:ascii="Arial" w:hAnsi="Arial" w:cs="Arial"/>
        </w:rPr>
      </w:pPr>
    </w:p>
    <w:p w14:paraId="6AAE9836" w14:textId="77777777" w:rsidR="000B178D" w:rsidRPr="00BE538F" w:rsidRDefault="000B178D" w:rsidP="00527B0F">
      <w:pPr>
        <w:rPr>
          <w:rFonts w:ascii="Arial" w:hAnsi="Arial" w:cs="Arial"/>
        </w:rPr>
      </w:pPr>
    </w:p>
    <w:p w14:paraId="79797032" w14:textId="77777777" w:rsidR="006318E9" w:rsidRPr="00BE538F" w:rsidRDefault="006318E9" w:rsidP="00527B0F">
      <w:pPr>
        <w:rPr>
          <w:rFonts w:ascii="Arial" w:hAnsi="Arial" w:cs="Arial"/>
        </w:rPr>
      </w:pPr>
    </w:p>
    <w:p w14:paraId="3B1FDB45" w14:textId="77777777" w:rsidR="007D539B" w:rsidRPr="00BE538F" w:rsidRDefault="007D539B" w:rsidP="00527B0F">
      <w:pPr>
        <w:rPr>
          <w:rFonts w:ascii="Arial" w:hAnsi="Arial" w:cs="Arial"/>
        </w:rPr>
      </w:pPr>
    </w:p>
    <w:p w14:paraId="09A05A64" w14:textId="77777777" w:rsidR="007D539B" w:rsidRPr="00BE538F" w:rsidRDefault="007D539B" w:rsidP="00527B0F">
      <w:pPr>
        <w:rPr>
          <w:rFonts w:ascii="Arial" w:hAnsi="Arial" w:cs="Arial"/>
        </w:rPr>
      </w:pPr>
    </w:p>
    <w:p w14:paraId="4F0F06F3" w14:textId="77777777" w:rsidR="007D539B" w:rsidRPr="00BE538F" w:rsidRDefault="007D539B" w:rsidP="00527B0F">
      <w:pPr>
        <w:rPr>
          <w:rFonts w:ascii="Arial" w:hAnsi="Arial" w:cs="Arial"/>
        </w:rPr>
      </w:pPr>
    </w:p>
    <w:p w14:paraId="43461E71" w14:textId="77777777" w:rsidR="00400926" w:rsidRPr="00BE538F" w:rsidRDefault="00400926" w:rsidP="00527B0F">
      <w:pPr>
        <w:rPr>
          <w:rFonts w:ascii="Arial" w:hAnsi="Arial" w:cs="Arial"/>
        </w:rPr>
      </w:pPr>
    </w:p>
    <w:p w14:paraId="35A391B7" w14:textId="77777777" w:rsidR="00400926" w:rsidRPr="00BE538F" w:rsidRDefault="00400926" w:rsidP="00527B0F">
      <w:pPr>
        <w:rPr>
          <w:rFonts w:ascii="Arial" w:hAnsi="Arial" w:cs="Arial"/>
        </w:rPr>
      </w:pPr>
    </w:p>
    <w:p w14:paraId="4D64DA30" w14:textId="77777777" w:rsidR="00400926" w:rsidRPr="00BE538F" w:rsidRDefault="00400926" w:rsidP="00527B0F">
      <w:pPr>
        <w:rPr>
          <w:rFonts w:ascii="Arial" w:hAnsi="Arial" w:cs="Arial"/>
        </w:rPr>
      </w:pPr>
    </w:p>
    <w:p w14:paraId="4114E605" w14:textId="77777777" w:rsidR="00400926" w:rsidRPr="00BE538F" w:rsidRDefault="00400926" w:rsidP="00527B0F">
      <w:pPr>
        <w:rPr>
          <w:rFonts w:ascii="Arial" w:hAnsi="Arial" w:cs="Arial"/>
        </w:rPr>
      </w:pPr>
    </w:p>
    <w:p w14:paraId="50C713BC" w14:textId="77777777" w:rsidR="00400926" w:rsidRPr="00BE538F" w:rsidRDefault="00400926" w:rsidP="00527B0F">
      <w:pPr>
        <w:rPr>
          <w:rFonts w:ascii="Arial" w:hAnsi="Arial" w:cs="Arial"/>
        </w:rPr>
      </w:pPr>
    </w:p>
    <w:p w14:paraId="704AC79A" w14:textId="77777777" w:rsidR="00400926" w:rsidRPr="00BE538F" w:rsidRDefault="00400926" w:rsidP="00527B0F">
      <w:pPr>
        <w:rPr>
          <w:rFonts w:ascii="Arial" w:hAnsi="Arial" w:cs="Arial"/>
        </w:rPr>
      </w:pPr>
    </w:p>
    <w:p w14:paraId="487D8BF7" w14:textId="77777777" w:rsidR="00400926" w:rsidRPr="00BE538F" w:rsidRDefault="00400926" w:rsidP="00527B0F">
      <w:pPr>
        <w:rPr>
          <w:rFonts w:ascii="Arial" w:hAnsi="Arial" w:cs="Arial"/>
        </w:rPr>
      </w:pPr>
    </w:p>
    <w:p w14:paraId="76200CE6" w14:textId="77777777" w:rsidR="00400926" w:rsidRPr="00BE538F" w:rsidRDefault="00400926" w:rsidP="00527B0F">
      <w:pPr>
        <w:rPr>
          <w:rFonts w:ascii="Arial" w:hAnsi="Arial" w:cs="Arial"/>
        </w:rPr>
      </w:pPr>
    </w:p>
    <w:p w14:paraId="658A2170" w14:textId="28DDE15E" w:rsidR="00EB3550" w:rsidRPr="00BE538F" w:rsidRDefault="005161C8" w:rsidP="00BE538F">
      <w:pPr>
        <w:spacing w:line="360" w:lineRule="auto"/>
        <w:rPr>
          <w:rFonts w:ascii="Arial" w:hAnsi="Arial" w:cs="Arial"/>
          <w:sz w:val="24"/>
          <w:szCs w:val="24"/>
        </w:rPr>
      </w:pPr>
      <w:r w:rsidRPr="00BE538F">
        <w:rPr>
          <w:rFonts w:ascii="Arial" w:hAnsi="Arial" w:cs="Arial"/>
          <w:sz w:val="24"/>
          <w:szCs w:val="24"/>
        </w:rPr>
        <w:t xml:space="preserve">We have chosen </w:t>
      </w:r>
      <w:r w:rsidR="00EB3550" w:rsidRPr="00BE538F">
        <w:rPr>
          <w:rFonts w:ascii="Arial" w:hAnsi="Arial" w:cs="Arial"/>
          <w:sz w:val="24"/>
          <w:szCs w:val="24"/>
        </w:rPr>
        <w:t>each technology</w:t>
      </w:r>
      <w:r w:rsidRPr="00BE538F">
        <w:rPr>
          <w:rFonts w:ascii="Arial" w:hAnsi="Arial" w:cs="Arial"/>
          <w:sz w:val="24"/>
          <w:szCs w:val="24"/>
        </w:rPr>
        <w:t xml:space="preserve"> for inclusion in this resource for different reasons</w:t>
      </w:r>
      <w:r w:rsidR="00F37CFF" w:rsidRPr="00BE538F">
        <w:rPr>
          <w:rFonts w:ascii="Arial" w:hAnsi="Arial" w:cs="Arial"/>
          <w:sz w:val="24"/>
          <w:szCs w:val="24"/>
        </w:rPr>
        <w:t>.</w:t>
      </w:r>
    </w:p>
    <w:p w14:paraId="7F31A345" w14:textId="3B2774DD" w:rsidR="00EB3550" w:rsidRPr="00BE538F" w:rsidRDefault="00EB3550" w:rsidP="00BE538F">
      <w:pPr>
        <w:spacing w:after="200" w:line="360" w:lineRule="auto"/>
        <w:rPr>
          <w:rFonts w:ascii="Arial" w:hAnsi="Arial" w:cs="Arial"/>
          <w:sz w:val="24"/>
          <w:szCs w:val="24"/>
        </w:rPr>
      </w:pPr>
      <w:r w:rsidRPr="00BE538F">
        <w:rPr>
          <w:rFonts w:ascii="Arial" w:hAnsi="Arial" w:cs="Arial"/>
          <w:b/>
          <w:bCs/>
          <w:sz w:val="24"/>
          <w:szCs w:val="24"/>
        </w:rPr>
        <w:lastRenderedPageBreak/>
        <w:t>Onshore wind</w:t>
      </w:r>
      <w:r w:rsidRPr="00BE538F">
        <w:rPr>
          <w:rFonts w:ascii="Arial" w:hAnsi="Arial" w:cs="Arial"/>
          <w:sz w:val="24"/>
          <w:szCs w:val="24"/>
        </w:rPr>
        <w:t xml:space="preserve"> is a </w:t>
      </w:r>
      <w:r w:rsidR="00F37CFF" w:rsidRPr="00BE538F">
        <w:rPr>
          <w:rFonts w:ascii="Arial" w:hAnsi="Arial" w:cs="Arial"/>
          <w:sz w:val="24"/>
          <w:szCs w:val="24"/>
        </w:rPr>
        <w:t xml:space="preserve">key </w:t>
      </w:r>
      <w:r w:rsidRPr="00BE538F">
        <w:rPr>
          <w:rFonts w:ascii="Arial" w:hAnsi="Arial" w:cs="Arial"/>
          <w:sz w:val="24"/>
          <w:szCs w:val="24"/>
        </w:rPr>
        <w:t>technology identified by NESO for reaching CP2030</w:t>
      </w:r>
      <w:r w:rsidR="00C0003E" w:rsidRPr="00BE538F">
        <w:rPr>
          <w:rFonts w:ascii="Arial" w:hAnsi="Arial" w:cs="Arial"/>
          <w:sz w:val="24"/>
          <w:szCs w:val="24"/>
        </w:rPr>
        <w:t xml:space="preserve"> </w:t>
      </w:r>
      <w:hyperlink r:id="rId16" w:history="1">
        <w:r w:rsidR="00C0003E" w:rsidRPr="00BE538F">
          <w:rPr>
            <w:rStyle w:val="Hyperlink"/>
            <w:rFonts w:ascii="Arial" w:hAnsi="Arial" w:cs="Arial"/>
            <w:sz w:val="24"/>
            <w:szCs w:val="24"/>
          </w:rPr>
          <w:t>(DESNZ, 2025)</w:t>
        </w:r>
      </w:hyperlink>
      <w:r w:rsidR="00F37CFF" w:rsidRPr="00BE538F">
        <w:rPr>
          <w:rFonts w:ascii="Arial" w:hAnsi="Arial" w:cs="Arial"/>
          <w:sz w:val="24"/>
          <w:szCs w:val="24"/>
        </w:rPr>
        <w:t>. It estimates that</w:t>
      </w:r>
      <w:r w:rsidRPr="00BE538F">
        <w:rPr>
          <w:rFonts w:ascii="Arial" w:hAnsi="Arial" w:cs="Arial"/>
          <w:sz w:val="24"/>
          <w:szCs w:val="24"/>
        </w:rPr>
        <w:t xml:space="preserve"> at least 13.6 GW more capacity </w:t>
      </w:r>
      <w:r w:rsidR="00F37CFF" w:rsidRPr="00BE538F">
        <w:rPr>
          <w:rFonts w:ascii="Arial" w:hAnsi="Arial" w:cs="Arial"/>
          <w:sz w:val="24"/>
          <w:szCs w:val="24"/>
        </w:rPr>
        <w:t>is</w:t>
      </w:r>
      <w:r w:rsidRPr="00BE538F">
        <w:rPr>
          <w:rFonts w:ascii="Arial" w:hAnsi="Arial" w:cs="Arial"/>
          <w:sz w:val="24"/>
          <w:szCs w:val="24"/>
        </w:rPr>
        <w:t xml:space="preserve"> required.</w:t>
      </w:r>
    </w:p>
    <w:p w14:paraId="2E518940" w14:textId="6AEB180A" w:rsidR="00EB3550" w:rsidRPr="00BE538F" w:rsidRDefault="00EB3550" w:rsidP="00BE538F">
      <w:pPr>
        <w:spacing w:after="200" w:line="360" w:lineRule="auto"/>
        <w:rPr>
          <w:rFonts w:ascii="Arial" w:hAnsi="Arial" w:cs="Arial"/>
          <w:sz w:val="24"/>
          <w:szCs w:val="24"/>
        </w:rPr>
      </w:pPr>
      <w:r w:rsidRPr="00BE538F">
        <w:rPr>
          <w:rFonts w:ascii="Arial" w:hAnsi="Arial" w:cs="Arial"/>
          <w:b/>
          <w:sz w:val="24"/>
          <w:szCs w:val="24"/>
        </w:rPr>
        <w:t>Offshore wind</w:t>
      </w:r>
      <w:r w:rsidRPr="00BE538F">
        <w:rPr>
          <w:rFonts w:ascii="Arial" w:hAnsi="Arial" w:cs="Arial"/>
          <w:sz w:val="24"/>
          <w:szCs w:val="24"/>
        </w:rPr>
        <w:t xml:space="preserve"> is also a key technology, with indications that The Crown Estate will conduct leasing rounds once a year to accelerate deployment</w:t>
      </w:r>
      <w:r w:rsidR="0032121C" w:rsidRPr="00BE538F">
        <w:rPr>
          <w:rFonts w:ascii="Arial" w:hAnsi="Arial" w:cs="Arial"/>
          <w:sz w:val="24"/>
          <w:szCs w:val="24"/>
        </w:rPr>
        <w:t>.</w:t>
      </w:r>
      <w:r w:rsidRPr="00BE538F">
        <w:rPr>
          <w:rFonts w:ascii="Arial" w:hAnsi="Arial" w:cs="Arial"/>
          <w:sz w:val="24"/>
          <w:szCs w:val="24"/>
        </w:rPr>
        <w:t xml:space="preserve"> CP2030 advice suggest</w:t>
      </w:r>
      <w:r w:rsidR="0032121C" w:rsidRPr="00BE538F">
        <w:rPr>
          <w:rFonts w:ascii="Arial" w:hAnsi="Arial" w:cs="Arial"/>
          <w:sz w:val="24"/>
          <w:szCs w:val="24"/>
        </w:rPr>
        <w:t>s that</w:t>
      </w:r>
      <w:r w:rsidRPr="00BE538F">
        <w:rPr>
          <w:rFonts w:ascii="Arial" w:hAnsi="Arial" w:cs="Arial"/>
          <w:sz w:val="24"/>
          <w:szCs w:val="24"/>
        </w:rPr>
        <w:t xml:space="preserve"> an additional 28.4 GW is needed.</w:t>
      </w:r>
    </w:p>
    <w:p w14:paraId="090B2768" w14:textId="52FCB60A" w:rsidR="00EB3550" w:rsidRPr="00BE538F" w:rsidRDefault="00EB3550" w:rsidP="00BE538F">
      <w:pPr>
        <w:spacing w:after="200" w:line="360" w:lineRule="auto"/>
        <w:rPr>
          <w:rFonts w:ascii="Arial" w:hAnsi="Arial" w:cs="Arial"/>
          <w:sz w:val="24"/>
          <w:szCs w:val="24"/>
        </w:rPr>
      </w:pPr>
      <w:r w:rsidRPr="00BE538F">
        <w:rPr>
          <w:rFonts w:ascii="Arial" w:hAnsi="Arial" w:cs="Arial"/>
          <w:b/>
          <w:sz w:val="24"/>
          <w:szCs w:val="24"/>
        </w:rPr>
        <w:t>Solar</w:t>
      </w:r>
      <w:r w:rsidRPr="00BE538F">
        <w:rPr>
          <w:rFonts w:ascii="Arial" w:hAnsi="Arial" w:cs="Arial"/>
          <w:b/>
          <w:bCs/>
          <w:sz w:val="24"/>
          <w:szCs w:val="24"/>
        </w:rPr>
        <w:t xml:space="preserve"> PV</w:t>
      </w:r>
      <w:r w:rsidRPr="00BE538F">
        <w:rPr>
          <w:rFonts w:ascii="Arial" w:hAnsi="Arial" w:cs="Arial"/>
          <w:sz w:val="24"/>
          <w:szCs w:val="24"/>
        </w:rPr>
        <w:t xml:space="preserve"> has been a consistent area of renewable development in England and is beginning to see greater deployment in the devolved administrations. CP2030</w:t>
      </w:r>
      <w:r w:rsidR="0032121C" w:rsidRPr="00BE538F">
        <w:rPr>
          <w:rFonts w:ascii="Arial" w:hAnsi="Arial" w:cs="Arial"/>
          <w:sz w:val="24"/>
          <w:szCs w:val="24"/>
        </w:rPr>
        <w:t xml:space="preserve"> </w:t>
      </w:r>
      <w:r w:rsidRPr="00BE538F">
        <w:rPr>
          <w:rFonts w:ascii="Arial" w:hAnsi="Arial" w:cs="Arial"/>
          <w:sz w:val="24"/>
          <w:szCs w:val="24"/>
        </w:rPr>
        <w:t xml:space="preserve">estimates an additional 32.3 GW of solar capacity could be installed by 2030. </w:t>
      </w:r>
    </w:p>
    <w:p w14:paraId="0BF37B61" w14:textId="7D32112E" w:rsidR="00EB3550" w:rsidRPr="00BE538F" w:rsidRDefault="00FB6EEF" w:rsidP="00BE538F">
      <w:pPr>
        <w:spacing w:after="200" w:line="360" w:lineRule="auto"/>
        <w:rPr>
          <w:rFonts w:ascii="Arial" w:hAnsi="Arial" w:cs="Arial"/>
          <w:sz w:val="24"/>
          <w:szCs w:val="24"/>
        </w:rPr>
      </w:pPr>
      <w:r w:rsidRPr="00BE538F">
        <w:rPr>
          <w:rFonts w:ascii="Arial" w:hAnsi="Arial" w:cs="Arial"/>
          <w:b/>
          <w:bCs/>
          <w:sz w:val="24"/>
          <w:szCs w:val="24"/>
        </w:rPr>
        <w:t>Battery Energy Storage Systems (</w:t>
      </w:r>
      <w:r w:rsidR="00EB3550" w:rsidRPr="00BE538F">
        <w:rPr>
          <w:rFonts w:ascii="Arial" w:hAnsi="Arial" w:cs="Arial"/>
          <w:b/>
          <w:bCs/>
          <w:sz w:val="24"/>
          <w:szCs w:val="24"/>
        </w:rPr>
        <w:t>BESS</w:t>
      </w:r>
      <w:r w:rsidR="00175C05">
        <w:rPr>
          <w:rFonts w:ascii="Arial" w:hAnsi="Arial" w:cs="Arial"/>
          <w:b/>
          <w:bCs/>
          <w:sz w:val="24"/>
          <w:szCs w:val="24"/>
        </w:rPr>
        <w:t>s</w:t>
      </w:r>
      <w:r w:rsidRPr="00BE538F">
        <w:rPr>
          <w:rFonts w:ascii="Arial" w:hAnsi="Arial" w:cs="Arial"/>
          <w:b/>
          <w:bCs/>
          <w:sz w:val="24"/>
          <w:szCs w:val="24"/>
        </w:rPr>
        <w:t>)</w:t>
      </w:r>
      <w:r w:rsidR="00EB3550" w:rsidRPr="00BE538F">
        <w:rPr>
          <w:rFonts w:ascii="Arial" w:hAnsi="Arial" w:cs="Arial"/>
          <w:sz w:val="24"/>
          <w:szCs w:val="24"/>
        </w:rPr>
        <w:t xml:space="preserve"> are being rapidly deployed across the UK, with projects now reaching</w:t>
      </w:r>
      <w:r w:rsidR="47CEBF07" w:rsidRPr="00BE538F">
        <w:rPr>
          <w:rFonts w:ascii="Arial" w:hAnsi="Arial" w:cs="Arial"/>
          <w:sz w:val="24"/>
          <w:szCs w:val="24"/>
        </w:rPr>
        <w:t xml:space="preserve"> gigawatt</w:t>
      </w:r>
      <w:r w:rsidR="00EB3550" w:rsidRPr="00BE538F">
        <w:rPr>
          <w:rFonts w:ascii="Arial" w:hAnsi="Arial" w:cs="Arial"/>
          <w:sz w:val="24"/>
          <w:szCs w:val="24"/>
        </w:rPr>
        <w:t xml:space="preserve">  capacity. BESS</w:t>
      </w:r>
      <w:r w:rsidR="00761C3B" w:rsidRPr="00BE538F">
        <w:rPr>
          <w:rFonts w:ascii="Arial" w:hAnsi="Arial" w:cs="Arial"/>
          <w:sz w:val="24"/>
          <w:szCs w:val="24"/>
        </w:rPr>
        <w:t>s</w:t>
      </w:r>
      <w:r w:rsidR="00EB3550" w:rsidRPr="00BE538F">
        <w:rPr>
          <w:rFonts w:ascii="Arial" w:hAnsi="Arial" w:cs="Arial"/>
          <w:sz w:val="24"/>
          <w:szCs w:val="24"/>
        </w:rPr>
        <w:t xml:space="preserve"> have explicit support from NESO as a vital technology to balance the grid in a future high-renewables energy system, with a projected increase of 18 GW by 2030.</w:t>
      </w:r>
    </w:p>
    <w:p w14:paraId="16D0ED5E" w14:textId="36E41164" w:rsidR="00EB3550" w:rsidRPr="00BE538F" w:rsidRDefault="00EB3550" w:rsidP="00BE538F">
      <w:pPr>
        <w:spacing w:after="200" w:line="360" w:lineRule="auto"/>
        <w:rPr>
          <w:rFonts w:ascii="Arial" w:hAnsi="Arial" w:cs="Arial"/>
          <w:sz w:val="24"/>
          <w:szCs w:val="24"/>
        </w:rPr>
      </w:pPr>
      <w:r w:rsidRPr="00BE538F">
        <w:rPr>
          <w:rFonts w:ascii="Arial" w:hAnsi="Arial" w:cs="Arial"/>
          <w:sz w:val="24"/>
          <w:szCs w:val="24"/>
        </w:rPr>
        <w:t xml:space="preserve">While </w:t>
      </w:r>
      <w:r w:rsidRPr="00BE538F">
        <w:rPr>
          <w:rFonts w:ascii="Arial" w:hAnsi="Arial" w:cs="Arial"/>
          <w:b/>
          <w:sz w:val="24"/>
          <w:szCs w:val="24"/>
        </w:rPr>
        <w:t>hydropower</w:t>
      </w:r>
      <w:r w:rsidRPr="00BE538F">
        <w:rPr>
          <w:rFonts w:ascii="Arial" w:hAnsi="Arial" w:cs="Arial"/>
          <w:sz w:val="24"/>
          <w:szCs w:val="24"/>
        </w:rPr>
        <w:t xml:space="preserve"> has not seen much development in recent years and doesn’t feature in CP2030, it is a mature technology with strong future potential in nations with significant resource</w:t>
      </w:r>
      <w:r w:rsidR="00B01FEE" w:rsidRPr="00BE538F">
        <w:rPr>
          <w:rFonts w:ascii="Arial" w:hAnsi="Arial" w:cs="Arial"/>
          <w:sz w:val="24"/>
          <w:szCs w:val="24"/>
        </w:rPr>
        <w:t>,</w:t>
      </w:r>
      <w:r w:rsidRPr="00BE538F">
        <w:rPr>
          <w:rFonts w:ascii="Arial" w:hAnsi="Arial" w:cs="Arial"/>
          <w:sz w:val="24"/>
          <w:szCs w:val="24"/>
        </w:rPr>
        <w:t xml:space="preserve"> such as Scotland. Pumped hydro storage has been omitted from this report due to both the infrequency and scale of these projects. </w:t>
      </w:r>
    </w:p>
    <w:p w14:paraId="682EDA4E" w14:textId="418B8AF6" w:rsidR="00EB3550" w:rsidRPr="00BE538F" w:rsidRDefault="00EB3550" w:rsidP="00BE538F">
      <w:pPr>
        <w:spacing w:after="200" w:line="360" w:lineRule="auto"/>
        <w:rPr>
          <w:rFonts w:ascii="Arial" w:hAnsi="Arial" w:cs="Arial"/>
          <w:sz w:val="24"/>
          <w:szCs w:val="24"/>
        </w:rPr>
      </w:pPr>
      <w:r w:rsidRPr="00BE538F">
        <w:rPr>
          <w:rFonts w:ascii="Arial" w:hAnsi="Arial" w:cs="Arial"/>
          <w:b/>
          <w:sz w:val="24"/>
          <w:szCs w:val="24"/>
        </w:rPr>
        <w:t>Tidal energy</w:t>
      </w:r>
      <w:r w:rsidRPr="00BE538F">
        <w:rPr>
          <w:rFonts w:ascii="Arial" w:hAnsi="Arial" w:cs="Arial"/>
          <w:sz w:val="24"/>
          <w:szCs w:val="24"/>
        </w:rPr>
        <w:t xml:space="preserve"> is a technology which has received a lot of attention for its potential role in providing reliable, predictable energy to the grid. Projects such as </w:t>
      </w:r>
      <w:proofErr w:type="spellStart"/>
      <w:r w:rsidRPr="00BE538F">
        <w:rPr>
          <w:rFonts w:ascii="Arial" w:hAnsi="Arial" w:cs="Arial"/>
          <w:sz w:val="24"/>
          <w:szCs w:val="24"/>
        </w:rPr>
        <w:t>Meygen</w:t>
      </w:r>
      <w:proofErr w:type="spellEnd"/>
      <w:r w:rsidRPr="00BE538F">
        <w:rPr>
          <w:rFonts w:ascii="Arial" w:hAnsi="Arial" w:cs="Arial"/>
          <w:sz w:val="24"/>
          <w:szCs w:val="24"/>
        </w:rPr>
        <w:t xml:space="preserve">, the Orbital O2 and the </w:t>
      </w:r>
      <w:proofErr w:type="spellStart"/>
      <w:r w:rsidRPr="00BE538F">
        <w:rPr>
          <w:rFonts w:ascii="Arial" w:hAnsi="Arial" w:cs="Arial"/>
          <w:sz w:val="24"/>
          <w:szCs w:val="24"/>
        </w:rPr>
        <w:t>Morlais</w:t>
      </w:r>
      <w:proofErr w:type="spellEnd"/>
      <w:r w:rsidRPr="00BE538F">
        <w:rPr>
          <w:rFonts w:ascii="Arial" w:hAnsi="Arial" w:cs="Arial"/>
          <w:sz w:val="24"/>
          <w:szCs w:val="24"/>
        </w:rPr>
        <w:t xml:space="preserve"> demonstration zone are proving themselves successful tests of the technology</w:t>
      </w:r>
      <w:r w:rsidR="003B13A4" w:rsidRPr="00BE538F">
        <w:rPr>
          <w:rFonts w:ascii="Arial" w:hAnsi="Arial" w:cs="Arial"/>
          <w:sz w:val="24"/>
          <w:szCs w:val="24"/>
        </w:rPr>
        <w:t>,</w:t>
      </w:r>
      <w:r w:rsidRPr="00BE538F">
        <w:rPr>
          <w:rFonts w:ascii="Arial" w:hAnsi="Arial" w:cs="Arial"/>
          <w:sz w:val="24"/>
          <w:szCs w:val="24"/>
        </w:rPr>
        <w:t xml:space="preserve"> which may see deployment in some of the tidal estuaries around the UK.</w:t>
      </w:r>
    </w:p>
    <w:p w14:paraId="6879D426" w14:textId="50A745B5" w:rsidR="00EB3550" w:rsidRPr="00BE538F" w:rsidRDefault="00EB3550" w:rsidP="00BE538F">
      <w:pPr>
        <w:spacing w:after="200" w:line="360" w:lineRule="auto"/>
        <w:rPr>
          <w:rFonts w:ascii="Arial" w:hAnsi="Arial" w:cs="Arial"/>
          <w:sz w:val="24"/>
          <w:szCs w:val="24"/>
        </w:rPr>
      </w:pPr>
      <w:r w:rsidRPr="00BE538F">
        <w:rPr>
          <w:rFonts w:ascii="Arial" w:hAnsi="Arial" w:cs="Arial"/>
          <w:sz w:val="24"/>
          <w:szCs w:val="24"/>
        </w:rPr>
        <w:t>Hydrogen has been widely discounted as a domestic heat fuel – with the National Infrastructure Commission recommending that the UK government should not support its rollout</w:t>
      </w:r>
      <w:r w:rsidR="002F140A" w:rsidRPr="00BE538F">
        <w:rPr>
          <w:rFonts w:ascii="Arial" w:hAnsi="Arial" w:cs="Arial"/>
          <w:sz w:val="24"/>
          <w:szCs w:val="24"/>
        </w:rPr>
        <w:t xml:space="preserve"> </w:t>
      </w:r>
      <w:hyperlink r:id="rId17" w:history="1">
        <w:r w:rsidR="002F140A" w:rsidRPr="00BE538F">
          <w:rPr>
            <w:rStyle w:val="Hyperlink"/>
            <w:rFonts w:ascii="Arial" w:hAnsi="Arial" w:cs="Arial"/>
            <w:sz w:val="24"/>
            <w:szCs w:val="24"/>
          </w:rPr>
          <w:t>(NIC, 2023)</w:t>
        </w:r>
      </w:hyperlink>
      <w:r w:rsidRPr="00BE538F">
        <w:rPr>
          <w:rFonts w:ascii="Arial" w:hAnsi="Arial" w:cs="Arial"/>
          <w:sz w:val="24"/>
          <w:szCs w:val="24"/>
        </w:rPr>
        <w:t xml:space="preserve">. Nonetheless, </w:t>
      </w:r>
      <w:r w:rsidRPr="00BE538F">
        <w:rPr>
          <w:rFonts w:ascii="Arial" w:hAnsi="Arial" w:cs="Arial"/>
          <w:b/>
          <w:bCs/>
          <w:sz w:val="24"/>
          <w:szCs w:val="24"/>
        </w:rPr>
        <w:t>hydrogen production</w:t>
      </w:r>
      <w:r w:rsidRPr="00BE538F">
        <w:rPr>
          <w:rFonts w:ascii="Arial" w:hAnsi="Arial" w:cs="Arial"/>
          <w:sz w:val="24"/>
          <w:szCs w:val="24"/>
        </w:rPr>
        <w:t xml:space="preserve"> has significant potential for industrial processes and specific transport applications where energy density is of significant concern, such as aviation.</w:t>
      </w:r>
    </w:p>
    <w:p w14:paraId="24CCB2A3" w14:textId="240A310F" w:rsidR="00EB3550" w:rsidRPr="00BE538F" w:rsidRDefault="00EB3550" w:rsidP="00BE538F">
      <w:pPr>
        <w:spacing w:after="200" w:line="360" w:lineRule="auto"/>
        <w:rPr>
          <w:rFonts w:ascii="Arial" w:hAnsi="Arial" w:cs="Arial"/>
          <w:sz w:val="24"/>
          <w:szCs w:val="24"/>
        </w:rPr>
      </w:pPr>
      <w:r w:rsidRPr="00BE538F">
        <w:rPr>
          <w:rFonts w:ascii="Arial" w:hAnsi="Arial" w:cs="Arial"/>
          <w:sz w:val="24"/>
          <w:szCs w:val="24"/>
        </w:rPr>
        <w:t xml:space="preserve">To achieve the scale of renewable energy increase needed in the UK, more </w:t>
      </w:r>
      <w:r w:rsidRPr="00BE538F">
        <w:rPr>
          <w:rFonts w:ascii="Arial" w:hAnsi="Arial" w:cs="Arial"/>
          <w:b/>
          <w:bCs/>
          <w:sz w:val="24"/>
          <w:szCs w:val="24"/>
        </w:rPr>
        <w:t>grid infrastructure</w:t>
      </w:r>
      <w:r w:rsidRPr="00BE538F">
        <w:rPr>
          <w:rFonts w:ascii="Arial" w:hAnsi="Arial" w:cs="Arial"/>
          <w:sz w:val="24"/>
          <w:szCs w:val="24"/>
        </w:rPr>
        <w:t xml:space="preserve"> is needed. New substations or major extensions to existing substations may require planning permission from local planning authorities (LPAs). LPAs are also statutory consultees for large-scale grid infrastructure projects.</w:t>
      </w:r>
    </w:p>
    <w:p w14:paraId="5BEDE237" w14:textId="77777777" w:rsidR="00EB3550" w:rsidRPr="00BE538F" w:rsidRDefault="00EB3550" w:rsidP="00BE538F">
      <w:pPr>
        <w:spacing w:after="200" w:line="360" w:lineRule="auto"/>
        <w:rPr>
          <w:rFonts w:ascii="Arial" w:hAnsi="Arial" w:cs="Arial"/>
          <w:sz w:val="24"/>
          <w:szCs w:val="24"/>
        </w:rPr>
      </w:pPr>
      <w:r w:rsidRPr="00BE538F">
        <w:rPr>
          <w:rFonts w:ascii="Arial" w:hAnsi="Arial" w:cs="Arial"/>
          <w:sz w:val="24"/>
          <w:szCs w:val="24"/>
        </w:rPr>
        <w:lastRenderedPageBreak/>
        <w:t xml:space="preserve">The Climate Change Committee (CCC) estimates that, by 2050, </w:t>
      </w:r>
      <w:r w:rsidRPr="00BE538F">
        <w:rPr>
          <w:rFonts w:ascii="Arial" w:hAnsi="Arial" w:cs="Arial"/>
          <w:b/>
          <w:sz w:val="24"/>
          <w:szCs w:val="24"/>
        </w:rPr>
        <w:t>heat networks</w:t>
      </w:r>
      <w:r w:rsidRPr="00BE538F">
        <w:rPr>
          <w:rFonts w:ascii="Arial" w:hAnsi="Arial" w:cs="Arial"/>
          <w:sz w:val="24"/>
          <w:szCs w:val="24"/>
        </w:rPr>
        <w:t xml:space="preserve"> will provide 20% of the UK's heat – requiring significant investment in this infrastructure which currently delivers around 3% of the UK’s heat demand.  </w:t>
      </w:r>
    </w:p>
    <w:p w14:paraId="77B4E8E3" w14:textId="460D4A75" w:rsidR="00505DFC" w:rsidRPr="00BE538F" w:rsidRDefault="00EB3550" w:rsidP="00BE538F">
      <w:pPr>
        <w:spacing w:line="360" w:lineRule="auto"/>
        <w:rPr>
          <w:rFonts w:ascii="Arial" w:hAnsi="Arial" w:cs="Arial"/>
          <w:sz w:val="24"/>
          <w:szCs w:val="24"/>
        </w:rPr>
      </w:pPr>
      <w:r w:rsidRPr="00BE538F">
        <w:rPr>
          <w:rFonts w:ascii="Arial" w:hAnsi="Arial" w:cs="Arial"/>
          <w:sz w:val="24"/>
          <w:szCs w:val="24"/>
          <w:highlight w:val="yellow"/>
        </w:rPr>
        <w:t>Section 2</w:t>
      </w:r>
      <w:r w:rsidR="004E7827" w:rsidRPr="00BE538F">
        <w:rPr>
          <w:rFonts w:ascii="Arial" w:hAnsi="Arial" w:cs="Arial"/>
          <w:sz w:val="24"/>
          <w:szCs w:val="24"/>
        </w:rPr>
        <w:t>, below,</w:t>
      </w:r>
      <w:r w:rsidRPr="00BE538F">
        <w:rPr>
          <w:rFonts w:ascii="Arial" w:hAnsi="Arial" w:cs="Arial"/>
          <w:sz w:val="24"/>
          <w:szCs w:val="24"/>
        </w:rPr>
        <w:t xml:space="preserve"> summarises the considerations that should be applied to all technologies in the list. </w:t>
      </w:r>
    </w:p>
    <w:p w14:paraId="500C515D" w14:textId="6A4F1A68"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Each subsequent section (3 – 11) provides guidance on constraints specific to individual technologies.</w:t>
      </w:r>
    </w:p>
    <w:p w14:paraId="039A4085" w14:textId="3C2A05F3" w:rsidR="00EB3550" w:rsidRPr="00BE538F" w:rsidRDefault="00F048F6" w:rsidP="00BE538F">
      <w:pPr>
        <w:pStyle w:val="Heading1"/>
        <w:spacing w:line="276" w:lineRule="auto"/>
        <w:rPr>
          <w:rFonts w:ascii="Arial" w:hAnsi="Arial" w:cs="Arial"/>
        </w:rPr>
      </w:pPr>
      <w:bookmarkStart w:id="7" w:name="_Toc188013944"/>
      <w:bookmarkStart w:id="8" w:name="_Toc198879949"/>
      <w:r>
        <w:rPr>
          <w:rFonts w:ascii="Arial" w:hAnsi="Arial" w:cs="Arial"/>
        </w:rPr>
        <w:t xml:space="preserve">2. </w:t>
      </w:r>
      <w:r w:rsidR="00EB3550" w:rsidRPr="00BE538F">
        <w:rPr>
          <w:rFonts w:ascii="Arial" w:hAnsi="Arial" w:cs="Arial"/>
        </w:rPr>
        <w:t>Cross-technology considerations</w:t>
      </w:r>
      <w:bookmarkEnd w:id="7"/>
      <w:bookmarkEnd w:id="8"/>
    </w:p>
    <w:p w14:paraId="4FA9D8BA" w14:textId="16DAABA1"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Below we have set out the national-level siting considerations in policy and guidance that apply across all technologies.</w:t>
      </w:r>
    </w:p>
    <w:p w14:paraId="41EC2A11" w14:textId="5DF704B8" w:rsidR="00EB3550" w:rsidRPr="00BE538F" w:rsidRDefault="00925A9C" w:rsidP="00527B0F">
      <w:pPr>
        <w:pStyle w:val="Heading2"/>
        <w:rPr>
          <w:rFonts w:ascii="Arial" w:hAnsi="Arial" w:cs="Arial"/>
        </w:rPr>
      </w:pPr>
      <w:bookmarkStart w:id="9" w:name="_Toc188013945"/>
      <w:bookmarkStart w:id="10" w:name="_Toc198879950"/>
      <w:r w:rsidRPr="00BE538F">
        <w:rPr>
          <w:rFonts w:ascii="Arial" w:hAnsi="Arial" w:cs="Arial"/>
        </w:rPr>
        <w:t>2.1</w:t>
      </w:r>
      <w:r w:rsidR="006318E9" w:rsidRPr="00BE538F">
        <w:rPr>
          <w:rFonts w:ascii="Arial" w:hAnsi="Arial" w:cs="Arial"/>
        </w:rPr>
        <w:t xml:space="preserve"> </w:t>
      </w:r>
      <w:r w:rsidR="00EB3550" w:rsidRPr="00BE538F">
        <w:rPr>
          <w:rFonts w:ascii="Arial" w:hAnsi="Arial" w:cs="Arial"/>
        </w:rPr>
        <w:t>England</w:t>
      </w:r>
      <w:bookmarkEnd w:id="9"/>
      <w:bookmarkEnd w:id="10"/>
    </w:p>
    <w:p w14:paraId="1C16A77E" w14:textId="10C3376C"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The National Planning Policy Framework (NPPF) sets the planning framework in England for all renewable technologies up to 50 MW and, currently, all onshore wind and battery storage projects</w:t>
      </w:r>
      <w:r w:rsidR="005529EA" w:rsidRPr="00BE538F">
        <w:rPr>
          <w:rFonts w:ascii="Arial" w:hAnsi="Arial" w:cs="Arial"/>
          <w:sz w:val="24"/>
          <w:szCs w:val="24"/>
        </w:rPr>
        <w:t xml:space="preserve"> </w:t>
      </w:r>
      <w:hyperlink r:id="rId18" w:history="1">
        <w:r w:rsidR="005529EA" w:rsidRPr="00BE538F">
          <w:rPr>
            <w:rStyle w:val="Hyperlink"/>
            <w:rFonts w:ascii="Arial" w:hAnsi="Arial" w:cs="Arial"/>
            <w:sz w:val="24"/>
            <w:szCs w:val="24"/>
          </w:rPr>
          <w:t>(MHCLG, 2024)</w:t>
        </w:r>
      </w:hyperlink>
      <w:r w:rsidRPr="00BE538F">
        <w:rPr>
          <w:rFonts w:ascii="Arial" w:hAnsi="Arial" w:cs="Arial"/>
          <w:sz w:val="24"/>
          <w:szCs w:val="24"/>
        </w:rPr>
        <w:t>. In December 2024, the UK government published an updated NPPF confirming that the threshold over which onshore wind and solar projects are considered as ‘Nationally Significant Infrastructure Projects’ (NSIPs) will move to 100 MW, with a transitional period until the end of 2025 as this policy change comes into effect).</w:t>
      </w:r>
    </w:p>
    <w:p w14:paraId="2C245408" w14:textId="0683868C"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 xml:space="preserve">The government has also published </w:t>
      </w:r>
      <w:r w:rsidR="00F731EE" w:rsidRPr="00BE538F">
        <w:rPr>
          <w:rFonts w:ascii="Arial" w:hAnsi="Arial" w:cs="Arial"/>
          <w:sz w:val="24"/>
          <w:szCs w:val="24"/>
        </w:rPr>
        <w:t xml:space="preserve">national </w:t>
      </w:r>
      <w:r w:rsidRPr="00BE538F">
        <w:rPr>
          <w:rFonts w:ascii="Arial" w:hAnsi="Arial" w:cs="Arial"/>
          <w:sz w:val="24"/>
          <w:szCs w:val="24"/>
        </w:rPr>
        <w:t>planning guidance for renewable and low-carbon energy to support LPAs in developing policies</w:t>
      </w:r>
      <w:r w:rsidR="00F731EE" w:rsidRPr="00BE538F">
        <w:rPr>
          <w:rFonts w:ascii="Arial" w:hAnsi="Arial" w:cs="Arial"/>
          <w:sz w:val="24"/>
          <w:szCs w:val="24"/>
        </w:rPr>
        <w:t xml:space="preserve"> </w:t>
      </w:r>
      <w:hyperlink r:id="rId19" w:history="1">
        <w:r w:rsidR="00F731EE" w:rsidRPr="00BE538F">
          <w:rPr>
            <w:rStyle w:val="Hyperlink"/>
            <w:rFonts w:ascii="Arial" w:hAnsi="Arial" w:cs="Arial"/>
            <w:sz w:val="24"/>
            <w:szCs w:val="24"/>
          </w:rPr>
          <w:t>(MHCLG, 2023)</w:t>
        </w:r>
      </w:hyperlink>
      <w:r w:rsidRPr="00BE538F">
        <w:rPr>
          <w:rFonts w:ascii="Arial" w:hAnsi="Arial" w:cs="Arial"/>
          <w:sz w:val="24"/>
          <w:szCs w:val="24"/>
        </w:rPr>
        <w:t>.</w:t>
      </w:r>
      <w:r w:rsidR="00A52D50" w:rsidRPr="00BE538F">
        <w:rPr>
          <w:rFonts w:ascii="Arial" w:hAnsi="Arial" w:cs="Arial"/>
          <w:sz w:val="24"/>
          <w:szCs w:val="24"/>
        </w:rPr>
        <w:t xml:space="preserve"> </w:t>
      </w:r>
      <w:r w:rsidRPr="00BE538F">
        <w:rPr>
          <w:rFonts w:ascii="Arial" w:hAnsi="Arial" w:cs="Arial"/>
          <w:sz w:val="24"/>
          <w:szCs w:val="24"/>
        </w:rPr>
        <w:t xml:space="preserve">As well as covering several specific technologies in detail, the guidance gives the following generic </w:t>
      </w:r>
      <w:bookmarkStart w:id="11" w:name="_Ref181022967"/>
      <w:r w:rsidRPr="00BE538F">
        <w:rPr>
          <w:rFonts w:ascii="Arial" w:hAnsi="Arial" w:cs="Arial"/>
          <w:sz w:val="24"/>
          <w:szCs w:val="24"/>
        </w:rPr>
        <w:t>siting considerations that must be considered for all renewable and low-carbon energy developments</w:t>
      </w:r>
      <w:bookmarkEnd w:id="11"/>
      <w:r w:rsidRPr="00BE538F">
        <w:rPr>
          <w:rFonts w:ascii="Arial" w:hAnsi="Arial" w:cs="Arial"/>
          <w:sz w:val="24"/>
          <w:szCs w:val="24"/>
        </w:rPr>
        <w:t>:</w:t>
      </w:r>
    </w:p>
    <w:p w14:paraId="08B886C9" w14:textId="513B2B89" w:rsidR="00EB3550" w:rsidRPr="00BE538F" w:rsidRDefault="00EB3550" w:rsidP="00BE538F">
      <w:pPr>
        <w:pStyle w:val="ListParagraph"/>
        <w:numPr>
          <w:ilvl w:val="0"/>
          <w:numId w:val="8"/>
        </w:numPr>
        <w:spacing w:after="200" w:line="360" w:lineRule="auto"/>
        <w:rPr>
          <w:rFonts w:ascii="Arial" w:hAnsi="Arial" w:cs="Arial"/>
          <w:sz w:val="24"/>
          <w:szCs w:val="24"/>
        </w:rPr>
      </w:pPr>
      <w:r w:rsidRPr="00BE538F">
        <w:rPr>
          <w:rFonts w:ascii="Arial" w:hAnsi="Arial" w:cs="Arial"/>
          <w:sz w:val="24"/>
          <w:szCs w:val="24"/>
        </w:rPr>
        <w:t>Proximity of grid connection infrastructure</w:t>
      </w:r>
      <w:r w:rsidR="009441E5" w:rsidRPr="00BE538F">
        <w:rPr>
          <w:rFonts w:ascii="Arial" w:hAnsi="Arial" w:cs="Arial"/>
          <w:sz w:val="24"/>
          <w:szCs w:val="24"/>
        </w:rPr>
        <w:t>;</w:t>
      </w:r>
    </w:p>
    <w:p w14:paraId="2A177243" w14:textId="358F0C3B" w:rsidR="00EB3550" w:rsidRPr="00BE538F" w:rsidRDefault="00EB3550" w:rsidP="00BE538F">
      <w:pPr>
        <w:pStyle w:val="ListParagraph"/>
        <w:numPr>
          <w:ilvl w:val="0"/>
          <w:numId w:val="8"/>
        </w:numPr>
        <w:spacing w:after="200" w:line="360" w:lineRule="auto"/>
        <w:rPr>
          <w:rFonts w:ascii="Arial" w:hAnsi="Arial" w:cs="Arial"/>
          <w:sz w:val="24"/>
          <w:szCs w:val="24"/>
        </w:rPr>
      </w:pPr>
      <w:r w:rsidRPr="00BE538F">
        <w:rPr>
          <w:rFonts w:ascii="Arial" w:hAnsi="Arial" w:cs="Arial"/>
          <w:sz w:val="24"/>
          <w:szCs w:val="24"/>
        </w:rPr>
        <w:t>Size of site</w:t>
      </w:r>
      <w:r w:rsidR="009441E5" w:rsidRPr="00BE538F">
        <w:rPr>
          <w:rFonts w:ascii="Arial" w:hAnsi="Arial" w:cs="Arial"/>
          <w:sz w:val="24"/>
          <w:szCs w:val="24"/>
        </w:rPr>
        <w:t>;</w:t>
      </w:r>
    </w:p>
    <w:p w14:paraId="60873261" w14:textId="4E052CCC" w:rsidR="00EB3550" w:rsidRPr="00BE538F" w:rsidRDefault="00EB3550" w:rsidP="00BE538F">
      <w:pPr>
        <w:pStyle w:val="ListParagraph"/>
        <w:numPr>
          <w:ilvl w:val="0"/>
          <w:numId w:val="8"/>
        </w:numPr>
        <w:spacing w:after="200" w:line="360" w:lineRule="auto"/>
        <w:rPr>
          <w:rFonts w:ascii="Arial" w:hAnsi="Arial" w:cs="Arial"/>
          <w:sz w:val="24"/>
          <w:szCs w:val="24"/>
        </w:rPr>
      </w:pPr>
      <w:r w:rsidRPr="00BE538F">
        <w:rPr>
          <w:rFonts w:ascii="Arial" w:hAnsi="Arial" w:cs="Arial"/>
          <w:sz w:val="24"/>
          <w:szCs w:val="24"/>
        </w:rPr>
        <w:t>Availability of resource (wind, solar, hydro</w:t>
      </w:r>
      <w:r w:rsidR="009441E5" w:rsidRPr="00BE538F">
        <w:rPr>
          <w:rFonts w:ascii="Arial" w:hAnsi="Arial" w:cs="Arial"/>
          <w:sz w:val="24"/>
          <w:szCs w:val="24"/>
        </w:rPr>
        <w:t>,</w:t>
      </w:r>
      <w:r w:rsidRPr="00BE538F">
        <w:rPr>
          <w:rFonts w:ascii="Arial" w:hAnsi="Arial" w:cs="Arial"/>
          <w:sz w:val="24"/>
          <w:szCs w:val="24"/>
        </w:rPr>
        <w:t xml:space="preserve"> etc.)</w:t>
      </w:r>
      <w:r w:rsidR="009441E5" w:rsidRPr="00BE538F">
        <w:rPr>
          <w:rFonts w:ascii="Arial" w:hAnsi="Arial" w:cs="Arial"/>
          <w:sz w:val="24"/>
          <w:szCs w:val="24"/>
        </w:rPr>
        <w:t>;</w:t>
      </w:r>
    </w:p>
    <w:p w14:paraId="3DA49C5D" w14:textId="491EBA3D" w:rsidR="00EB3550" w:rsidRPr="00BE538F" w:rsidRDefault="00EB3550" w:rsidP="00BE538F">
      <w:pPr>
        <w:pStyle w:val="ListParagraph"/>
        <w:numPr>
          <w:ilvl w:val="0"/>
          <w:numId w:val="8"/>
        </w:numPr>
        <w:spacing w:after="200" w:line="360" w:lineRule="auto"/>
        <w:rPr>
          <w:rFonts w:ascii="Arial" w:hAnsi="Arial" w:cs="Arial"/>
          <w:sz w:val="24"/>
          <w:szCs w:val="24"/>
        </w:rPr>
      </w:pPr>
      <w:r w:rsidRPr="00BE538F">
        <w:rPr>
          <w:rFonts w:ascii="Arial" w:hAnsi="Arial" w:cs="Arial"/>
          <w:sz w:val="24"/>
          <w:szCs w:val="24"/>
        </w:rPr>
        <w:t>Vehicle access</w:t>
      </w:r>
      <w:r w:rsidR="009441E5" w:rsidRPr="00BE538F">
        <w:rPr>
          <w:rFonts w:ascii="Arial" w:hAnsi="Arial" w:cs="Arial"/>
          <w:sz w:val="24"/>
          <w:szCs w:val="24"/>
        </w:rPr>
        <w:t>; and</w:t>
      </w:r>
    </w:p>
    <w:p w14:paraId="6F0F6F8D" w14:textId="77777777" w:rsidR="00EB3550" w:rsidRPr="00BE538F" w:rsidRDefault="00EB3550" w:rsidP="00BE538F">
      <w:pPr>
        <w:pStyle w:val="ListParagraph"/>
        <w:numPr>
          <w:ilvl w:val="0"/>
          <w:numId w:val="8"/>
        </w:numPr>
        <w:spacing w:line="360" w:lineRule="auto"/>
        <w:rPr>
          <w:rFonts w:ascii="Arial" w:hAnsi="Arial" w:cs="Arial"/>
          <w:sz w:val="24"/>
          <w:szCs w:val="24"/>
        </w:rPr>
      </w:pPr>
      <w:r w:rsidRPr="00BE538F">
        <w:rPr>
          <w:rFonts w:ascii="Arial" w:hAnsi="Arial" w:cs="Arial"/>
          <w:sz w:val="24"/>
          <w:szCs w:val="24"/>
        </w:rPr>
        <w:t>Set-back distances for safety (inflexible buffer zones and separation distances are to be avoided, local context such as topography should be considered).</w:t>
      </w:r>
    </w:p>
    <w:p w14:paraId="3E377746" w14:textId="57BE54EB"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lastRenderedPageBreak/>
        <w:t>The National Policy Statements (NPSs) for energy infrastructure also give advice on siting energy infrastructure and apply to NSIP projects in both England and Wales. NPS EN-1 sets out a list of generic impacts for consideration</w:t>
      </w:r>
      <w:r w:rsidR="00A52D50" w:rsidRPr="00BE538F">
        <w:rPr>
          <w:rFonts w:ascii="Arial" w:hAnsi="Arial" w:cs="Arial"/>
          <w:sz w:val="24"/>
          <w:szCs w:val="24"/>
        </w:rPr>
        <w:t xml:space="preserve"> </w:t>
      </w:r>
      <w:hyperlink r:id="rId20" w:history="1">
        <w:r w:rsidR="00A52D50" w:rsidRPr="00BE538F">
          <w:rPr>
            <w:rStyle w:val="Hyperlink"/>
            <w:rFonts w:ascii="Arial" w:hAnsi="Arial" w:cs="Arial"/>
            <w:sz w:val="24"/>
            <w:szCs w:val="24"/>
          </w:rPr>
          <w:t>(DESNZ, 2023)</w:t>
        </w:r>
      </w:hyperlink>
      <w:r w:rsidRPr="00BE538F">
        <w:rPr>
          <w:rFonts w:ascii="Arial" w:hAnsi="Arial" w:cs="Arial"/>
          <w:sz w:val="24"/>
          <w:szCs w:val="24"/>
        </w:rPr>
        <w:t>:</w:t>
      </w:r>
    </w:p>
    <w:p w14:paraId="52A80A10" w14:textId="5EA53B4F" w:rsidR="00A52D50" w:rsidRPr="00BE538F" w:rsidRDefault="00A52D50" w:rsidP="00BE538F">
      <w:pPr>
        <w:pStyle w:val="ListParagraph"/>
        <w:numPr>
          <w:ilvl w:val="0"/>
          <w:numId w:val="41"/>
        </w:numPr>
        <w:spacing w:line="360" w:lineRule="auto"/>
        <w:rPr>
          <w:rFonts w:ascii="Arial" w:hAnsi="Arial" w:cs="Arial"/>
          <w:sz w:val="24"/>
          <w:szCs w:val="24"/>
        </w:rPr>
      </w:pPr>
      <w:r w:rsidRPr="00BE538F">
        <w:rPr>
          <w:rFonts w:ascii="Arial" w:hAnsi="Arial" w:cs="Arial"/>
          <w:sz w:val="24"/>
          <w:szCs w:val="24"/>
        </w:rPr>
        <w:t>Air Quality and Emissions;</w:t>
      </w:r>
    </w:p>
    <w:p w14:paraId="48860BA3" w14:textId="59BB4D88" w:rsidR="00A52D50" w:rsidRPr="00BE538F" w:rsidRDefault="00A52D50" w:rsidP="00BE538F">
      <w:pPr>
        <w:pStyle w:val="ListParagraph"/>
        <w:numPr>
          <w:ilvl w:val="0"/>
          <w:numId w:val="41"/>
        </w:numPr>
        <w:spacing w:line="360" w:lineRule="auto"/>
        <w:rPr>
          <w:rFonts w:ascii="Arial" w:hAnsi="Arial" w:cs="Arial"/>
          <w:sz w:val="24"/>
          <w:szCs w:val="24"/>
        </w:rPr>
      </w:pPr>
      <w:r w:rsidRPr="00BE538F">
        <w:rPr>
          <w:rFonts w:ascii="Arial" w:hAnsi="Arial" w:cs="Arial"/>
          <w:sz w:val="24"/>
          <w:szCs w:val="24"/>
        </w:rPr>
        <w:t>Historic Environment;</w:t>
      </w:r>
    </w:p>
    <w:p w14:paraId="380993AB" w14:textId="7377B5F4" w:rsidR="00A52D50" w:rsidRPr="00BE538F" w:rsidRDefault="00A52D50" w:rsidP="00BE538F">
      <w:pPr>
        <w:pStyle w:val="ListParagraph"/>
        <w:numPr>
          <w:ilvl w:val="0"/>
          <w:numId w:val="41"/>
        </w:numPr>
        <w:spacing w:line="360" w:lineRule="auto"/>
        <w:rPr>
          <w:rFonts w:ascii="Arial" w:hAnsi="Arial" w:cs="Arial"/>
          <w:sz w:val="24"/>
          <w:szCs w:val="24"/>
        </w:rPr>
      </w:pPr>
      <w:r w:rsidRPr="00BE538F">
        <w:rPr>
          <w:rFonts w:ascii="Arial" w:hAnsi="Arial" w:cs="Arial"/>
          <w:sz w:val="24"/>
          <w:szCs w:val="24"/>
        </w:rPr>
        <w:t>Biodiversity And Geological Conservation;</w:t>
      </w:r>
    </w:p>
    <w:p w14:paraId="5979442E" w14:textId="340F28FC" w:rsidR="00A52D50" w:rsidRPr="00BE538F" w:rsidRDefault="00A52D50" w:rsidP="00BE538F">
      <w:pPr>
        <w:pStyle w:val="ListParagraph"/>
        <w:numPr>
          <w:ilvl w:val="0"/>
          <w:numId w:val="41"/>
        </w:numPr>
        <w:spacing w:line="360" w:lineRule="auto"/>
        <w:rPr>
          <w:rFonts w:ascii="Arial" w:hAnsi="Arial" w:cs="Arial"/>
          <w:sz w:val="24"/>
          <w:szCs w:val="24"/>
        </w:rPr>
      </w:pPr>
      <w:r w:rsidRPr="00BE538F">
        <w:rPr>
          <w:rFonts w:ascii="Arial" w:hAnsi="Arial" w:cs="Arial"/>
          <w:sz w:val="24"/>
          <w:szCs w:val="24"/>
        </w:rPr>
        <w:t>Dust, Odour, Artificial Light, Steam, and Insect Infestation;</w:t>
      </w:r>
    </w:p>
    <w:p w14:paraId="3A94717E" w14:textId="7E2DF638" w:rsidR="00A52D50" w:rsidRPr="00BE538F" w:rsidRDefault="00A52D50" w:rsidP="00BE538F">
      <w:pPr>
        <w:pStyle w:val="ListParagraph"/>
        <w:numPr>
          <w:ilvl w:val="0"/>
          <w:numId w:val="41"/>
        </w:numPr>
        <w:spacing w:line="360" w:lineRule="auto"/>
        <w:rPr>
          <w:rFonts w:ascii="Arial" w:hAnsi="Arial" w:cs="Arial"/>
          <w:sz w:val="24"/>
          <w:szCs w:val="24"/>
        </w:rPr>
      </w:pPr>
      <w:r w:rsidRPr="00BE538F">
        <w:rPr>
          <w:rFonts w:ascii="Arial" w:hAnsi="Arial" w:cs="Arial"/>
          <w:sz w:val="24"/>
          <w:szCs w:val="24"/>
        </w:rPr>
        <w:t>Traffic and Transport;</w:t>
      </w:r>
    </w:p>
    <w:p w14:paraId="1C397BFE" w14:textId="2B38A940" w:rsidR="00A52D50" w:rsidRPr="00BE538F" w:rsidRDefault="00A52D50" w:rsidP="00BE538F">
      <w:pPr>
        <w:pStyle w:val="ListParagraph"/>
        <w:numPr>
          <w:ilvl w:val="0"/>
          <w:numId w:val="41"/>
        </w:numPr>
        <w:spacing w:line="360" w:lineRule="auto"/>
        <w:rPr>
          <w:rFonts w:ascii="Arial" w:hAnsi="Arial" w:cs="Arial"/>
          <w:sz w:val="24"/>
          <w:szCs w:val="24"/>
        </w:rPr>
      </w:pPr>
      <w:r w:rsidRPr="00BE538F">
        <w:rPr>
          <w:rFonts w:ascii="Arial" w:hAnsi="Arial" w:cs="Arial"/>
          <w:sz w:val="24"/>
          <w:szCs w:val="24"/>
        </w:rPr>
        <w:t>Resource and Waste Management;</w:t>
      </w:r>
    </w:p>
    <w:p w14:paraId="3C821509" w14:textId="4982DFAE" w:rsidR="00A52D50" w:rsidRPr="00BE538F" w:rsidRDefault="00A52D50" w:rsidP="00BE538F">
      <w:pPr>
        <w:pStyle w:val="ListParagraph"/>
        <w:numPr>
          <w:ilvl w:val="0"/>
          <w:numId w:val="41"/>
        </w:numPr>
        <w:spacing w:line="360" w:lineRule="auto"/>
        <w:rPr>
          <w:rFonts w:ascii="Arial" w:hAnsi="Arial" w:cs="Arial"/>
          <w:sz w:val="24"/>
          <w:szCs w:val="24"/>
        </w:rPr>
      </w:pPr>
      <w:r w:rsidRPr="00BE538F">
        <w:rPr>
          <w:rFonts w:ascii="Arial" w:hAnsi="Arial" w:cs="Arial"/>
          <w:sz w:val="24"/>
          <w:szCs w:val="24"/>
        </w:rPr>
        <w:t>Civil and Military Aviation and Defence Interests;</w:t>
      </w:r>
    </w:p>
    <w:p w14:paraId="64568C99" w14:textId="1B1C043C" w:rsidR="00A52D50" w:rsidRPr="00BE538F" w:rsidRDefault="00A52D50" w:rsidP="00BE538F">
      <w:pPr>
        <w:pStyle w:val="ListParagraph"/>
        <w:numPr>
          <w:ilvl w:val="0"/>
          <w:numId w:val="41"/>
        </w:numPr>
        <w:spacing w:line="360" w:lineRule="auto"/>
        <w:rPr>
          <w:rFonts w:ascii="Arial" w:hAnsi="Arial" w:cs="Arial"/>
          <w:sz w:val="24"/>
          <w:szCs w:val="24"/>
        </w:rPr>
      </w:pPr>
      <w:r w:rsidRPr="00BE538F">
        <w:rPr>
          <w:rFonts w:ascii="Arial" w:hAnsi="Arial" w:cs="Arial"/>
          <w:sz w:val="24"/>
          <w:szCs w:val="24"/>
        </w:rPr>
        <w:t>Land Use, Including Open Space, Green Infrastructure, and Green Belt;</w:t>
      </w:r>
    </w:p>
    <w:p w14:paraId="2A0CD9EB" w14:textId="7845B1E4" w:rsidR="00A52D50" w:rsidRPr="00BE538F" w:rsidRDefault="00A52D50" w:rsidP="00BE538F">
      <w:pPr>
        <w:pStyle w:val="ListParagraph"/>
        <w:numPr>
          <w:ilvl w:val="0"/>
          <w:numId w:val="41"/>
        </w:numPr>
        <w:spacing w:line="360" w:lineRule="auto"/>
        <w:rPr>
          <w:rFonts w:ascii="Arial" w:hAnsi="Arial" w:cs="Arial"/>
          <w:sz w:val="24"/>
          <w:szCs w:val="24"/>
        </w:rPr>
      </w:pPr>
      <w:r w:rsidRPr="00BE538F">
        <w:rPr>
          <w:rFonts w:ascii="Arial" w:hAnsi="Arial" w:cs="Arial"/>
          <w:sz w:val="24"/>
          <w:szCs w:val="24"/>
        </w:rPr>
        <w:t>Coastal Change;</w:t>
      </w:r>
    </w:p>
    <w:p w14:paraId="675CB4CD" w14:textId="65721AA1" w:rsidR="00A52D50" w:rsidRPr="00BE538F" w:rsidRDefault="00A52D50" w:rsidP="00BE538F">
      <w:pPr>
        <w:pStyle w:val="ListParagraph"/>
        <w:numPr>
          <w:ilvl w:val="0"/>
          <w:numId w:val="41"/>
        </w:numPr>
        <w:spacing w:line="360" w:lineRule="auto"/>
        <w:rPr>
          <w:rFonts w:ascii="Arial" w:hAnsi="Arial" w:cs="Arial"/>
          <w:sz w:val="24"/>
          <w:szCs w:val="24"/>
        </w:rPr>
      </w:pPr>
      <w:r w:rsidRPr="00BE538F">
        <w:rPr>
          <w:rFonts w:ascii="Arial" w:hAnsi="Arial" w:cs="Arial"/>
          <w:sz w:val="24"/>
          <w:szCs w:val="24"/>
        </w:rPr>
        <w:t>Noise and Vibration;</w:t>
      </w:r>
    </w:p>
    <w:p w14:paraId="2EE5C74C" w14:textId="2C3AB398" w:rsidR="00A52D50" w:rsidRPr="00BE538F" w:rsidRDefault="00A52D50" w:rsidP="00BE538F">
      <w:pPr>
        <w:pStyle w:val="ListParagraph"/>
        <w:numPr>
          <w:ilvl w:val="0"/>
          <w:numId w:val="41"/>
        </w:numPr>
        <w:spacing w:line="360" w:lineRule="auto"/>
        <w:rPr>
          <w:rFonts w:ascii="Arial" w:hAnsi="Arial" w:cs="Arial"/>
          <w:sz w:val="24"/>
          <w:szCs w:val="24"/>
        </w:rPr>
      </w:pPr>
      <w:r w:rsidRPr="00BE538F">
        <w:rPr>
          <w:rFonts w:ascii="Arial" w:hAnsi="Arial" w:cs="Arial"/>
          <w:sz w:val="24"/>
          <w:szCs w:val="24"/>
        </w:rPr>
        <w:t>Landscape and Visual Effects;</w:t>
      </w:r>
    </w:p>
    <w:p w14:paraId="6A9119E6" w14:textId="3BBB0760" w:rsidR="00A52D50" w:rsidRPr="00BE538F" w:rsidRDefault="00A52D50" w:rsidP="00BE538F">
      <w:pPr>
        <w:pStyle w:val="ListParagraph"/>
        <w:numPr>
          <w:ilvl w:val="0"/>
          <w:numId w:val="41"/>
        </w:numPr>
        <w:spacing w:line="360" w:lineRule="auto"/>
        <w:rPr>
          <w:rFonts w:ascii="Arial" w:hAnsi="Arial" w:cs="Arial"/>
          <w:sz w:val="24"/>
          <w:szCs w:val="24"/>
        </w:rPr>
      </w:pPr>
      <w:r w:rsidRPr="00BE538F">
        <w:rPr>
          <w:rFonts w:ascii="Arial" w:hAnsi="Arial" w:cs="Arial"/>
          <w:sz w:val="24"/>
          <w:szCs w:val="24"/>
        </w:rPr>
        <w:t>Socio-Economic Impacts;</w:t>
      </w:r>
    </w:p>
    <w:p w14:paraId="4E7134F2" w14:textId="0BC002BF" w:rsidR="00A52D50" w:rsidRPr="00BE538F" w:rsidRDefault="00A52D50" w:rsidP="00BE538F">
      <w:pPr>
        <w:pStyle w:val="ListParagraph"/>
        <w:numPr>
          <w:ilvl w:val="0"/>
          <w:numId w:val="41"/>
        </w:numPr>
        <w:spacing w:line="360" w:lineRule="auto"/>
        <w:rPr>
          <w:rFonts w:ascii="Arial" w:hAnsi="Arial" w:cs="Arial"/>
          <w:sz w:val="24"/>
          <w:szCs w:val="24"/>
        </w:rPr>
      </w:pPr>
      <w:r w:rsidRPr="00BE538F">
        <w:rPr>
          <w:rFonts w:ascii="Arial" w:hAnsi="Arial" w:cs="Arial"/>
          <w:sz w:val="24"/>
          <w:szCs w:val="24"/>
        </w:rPr>
        <w:t>Hydrology and Flood Risk; and</w:t>
      </w:r>
    </w:p>
    <w:p w14:paraId="216174C7" w14:textId="7E80FD4E" w:rsidR="00A52D50" w:rsidRPr="00BE538F" w:rsidRDefault="00A52D50" w:rsidP="00BE538F">
      <w:pPr>
        <w:pStyle w:val="ListParagraph"/>
        <w:numPr>
          <w:ilvl w:val="0"/>
          <w:numId w:val="41"/>
        </w:numPr>
        <w:spacing w:line="360" w:lineRule="auto"/>
        <w:rPr>
          <w:rFonts w:ascii="Arial" w:hAnsi="Arial" w:cs="Arial"/>
        </w:rPr>
      </w:pPr>
      <w:r w:rsidRPr="00BE538F">
        <w:rPr>
          <w:rFonts w:ascii="Arial" w:hAnsi="Arial" w:cs="Arial"/>
          <w:sz w:val="24"/>
          <w:szCs w:val="24"/>
        </w:rPr>
        <w:t>Water Quality and Resources</w:t>
      </w:r>
      <w:r w:rsidRPr="00BE538F">
        <w:rPr>
          <w:rFonts w:ascii="Arial" w:hAnsi="Arial" w:cs="Arial"/>
        </w:rPr>
        <w:t>.</w:t>
      </w:r>
    </w:p>
    <w:p w14:paraId="7C1E4A2D" w14:textId="63F47DF8" w:rsidR="00EB3550" w:rsidRPr="00BE538F" w:rsidRDefault="00C63618" w:rsidP="00BE538F">
      <w:pPr>
        <w:pStyle w:val="Heading2"/>
        <w:rPr>
          <w:rFonts w:ascii="Arial" w:hAnsi="Arial" w:cs="Arial"/>
        </w:rPr>
      </w:pPr>
      <w:bookmarkStart w:id="12" w:name="_Toc188013946"/>
      <w:bookmarkStart w:id="13" w:name="_Toc198879951"/>
      <w:r>
        <w:rPr>
          <w:rFonts w:ascii="Arial" w:hAnsi="Arial" w:cs="Arial"/>
        </w:rPr>
        <w:t xml:space="preserve">2.2 </w:t>
      </w:r>
      <w:r w:rsidR="00EB3550" w:rsidRPr="00BE538F">
        <w:rPr>
          <w:rFonts w:ascii="Arial" w:hAnsi="Arial" w:cs="Arial"/>
        </w:rPr>
        <w:t>Wales</w:t>
      </w:r>
      <w:bookmarkEnd w:id="12"/>
      <w:bookmarkEnd w:id="13"/>
      <w:r w:rsidR="00EB3550" w:rsidRPr="00BE538F">
        <w:rPr>
          <w:rFonts w:ascii="Arial" w:hAnsi="Arial" w:cs="Arial"/>
        </w:rPr>
        <w:tab/>
      </w:r>
    </w:p>
    <w:p w14:paraId="31109DDB" w14:textId="4F22AB48" w:rsidR="00EB3550" w:rsidRPr="00BE538F" w:rsidRDefault="00EB3550" w:rsidP="00BE538F">
      <w:pPr>
        <w:spacing w:line="360" w:lineRule="auto"/>
        <w:rPr>
          <w:rFonts w:ascii="Arial" w:hAnsi="Arial" w:cs="Arial"/>
          <w:sz w:val="24"/>
          <w:szCs w:val="24"/>
        </w:rPr>
      </w:pPr>
      <w:proofErr w:type="spellStart"/>
      <w:r w:rsidRPr="00BE538F">
        <w:rPr>
          <w:rFonts w:ascii="Arial" w:hAnsi="Arial" w:cs="Arial"/>
          <w:sz w:val="24"/>
          <w:szCs w:val="24"/>
        </w:rPr>
        <w:t>Wales’</w:t>
      </w:r>
      <w:proofErr w:type="spellEnd"/>
      <w:r w:rsidRPr="00BE538F">
        <w:rPr>
          <w:rFonts w:ascii="Arial" w:hAnsi="Arial" w:cs="Arial"/>
          <w:sz w:val="24"/>
          <w:szCs w:val="24"/>
        </w:rPr>
        <w:t xml:space="preserve"> policy for renewable energy planning is primarily determined by ‘Future Wales, the National Plan 2040</w:t>
      </w:r>
      <w:bookmarkStart w:id="14" w:name="_Ref185425684"/>
      <w:r w:rsidRPr="00BE538F">
        <w:rPr>
          <w:rFonts w:ascii="Arial" w:hAnsi="Arial" w:cs="Arial"/>
          <w:sz w:val="24"/>
          <w:szCs w:val="24"/>
        </w:rPr>
        <w:t>’</w:t>
      </w:r>
      <w:r w:rsidR="008A53F4" w:rsidRPr="00BE538F">
        <w:rPr>
          <w:rFonts w:ascii="Arial" w:hAnsi="Arial" w:cs="Arial"/>
          <w:sz w:val="24"/>
          <w:szCs w:val="24"/>
        </w:rPr>
        <w:t xml:space="preserve"> </w:t>
      </w:r>
      <w:hyperlink r:id="rId21" w:history="1">
        <w:r w:rsidR="008A53F4" w:rsidRPr="00BE538F">
          <w:rPr>
            <w:rStyle w:val="Hyperlink"/>
            <w:rFonts w:ascii="Arial" w:hAnsi="Arial" w:cs="Arial"/>
            <w:sz w:val="24"/>
            <w:szCs w:val="24"/>
          </w:rPr>
          <w:t>(Welsh Government, 2021)</w:t>
        </w:r>
      </w:hyperlink>
      <w:bookmarkEnd w:id="14"/>
      <w:r w:rsidRPr="00BE538F">
        <w:rPr>
          <w:rFonts w:ascii="Arial" w:hAnsi="Arial" w:cs="Arial"/>
          <w:sz w:val="24"/>
          <w:szCs w:val="24"/>
        </w:rPr>
        <w:t>, which is supported by Planning Policy Wales (PPW)</w:t>
      </w:r>
      <w:bookmarkStart w:id="15" w:name="_Ref180760631"/>
      <w:r w:rsidR="00925A9C" w:rsidRPr="00BE538F">
        <w:rPr>
          <w:rFonts w:ascii="Arial" w:hAnsi="Arial" w:cs="Arial"/>
          <w:sz w:val="24"/>
          <w:szCs w:val="24"/>
        </w:rPr>
        <w:t xml:space="preserve"> </w:t>
      </w:r>
      <w:hyperlink r:id="rId22" w:history="1">
        <w:r w:rsidR="00925A9C" w:rsidRPr="00BE538F">
          <w:rPr>
            <w:rStyle w:val="Hyperlink"/>
            <w:rFonts w:ascii="Arial" w:hAnsi="Arial" w:cs="Arial"/>
            <w:sz w:val="24"/>
            <w:szCs w:val="24"/>
          </w:rPr>
          <w:t>(Welsh Government, 2024)</w:t>
        </w:r>
      </w:hyperlink>
      <w:bookmarkEnd w:id="15"/>
      <w:r w:rsidRPr="00BE538F">
        <w:rPr>
          <w:rFonts w:ascii="Arial" w:hAnsi="Arial" w:cs="Arial"/>
          <w:sz w:val="24"/>
          <w:szCs w:val="24"/>
        </w:rPr>
        <w:t>, as well as guidance provided by NPS EN-1</w:t>
      </w:r>
      <w:r w:rsidR="00C522C8" w:rsidRPr="00BE538F">
        <w:rPr>
          <w:rFonts w:ascii="Arial" w:hAnsi="Arial" w:cs="Arial"/>
          <w:sz w:val="24"/>
          <w:szCs w:val="24"/>
        </w:rPr>
        <w:t>.</w:t>
      </w:r>
    </w:p>
    <w:p w14:paraId="658497A0"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Policy 17 in Future Wales provides guidance to all projects, while Policy 18 does so only for Developments of National Significance (DNSs), which is defined as projects over 50 MW. Both policies provide criteria for assessing projects. In addition to the constraints in Table 1, Future Wales states that:</w:t>
      </w:r>
    </w:p>
    <w:p w14:paraId="2AB9B064" w14:textId="188A8847" w:rsidR="00EB3550" w:rsidRPr="00BE538F" w:rsidRDefault="00EB3550" w:rsidP="00BE538F">
      <w:pPr>
        <w:pStyle w:val="ListParagraph"/>
        <w:numPr>
          <w:ilvl w:val="0"/>
          <w:numId w:val="9"/>
        </w:numPr>
        <w:spacing w:after="200" w:line="360" w:lineRule="auto"/>
        <w:rPr>
          <w:rFonts w:ascii="Arial" w:hAnsi="Arial" w:cs="Arial"/>
          <w:sz w:val="24"/>
          <w:szCs w:val="24"/>
        </w:rPr>
      </w:pPr>
      <w:r w:rsidRPr="00BE538F">
        <w:rPr>
          <w:rFonts w:ascii="Arial" w:hAnsi="Arial" w:cs="Arial"/>
          <w:sz w:val="24"/>
          <w:szCs w:val="24"/>
        </w:rPr>
        <w:t>Proposals of DNS scale in national parks and Areas of Outstanding Natural Beauty (AONBs) will not be permitted</w:t>
      </w:r>
      <w:r w:rsidR="009441E5" w:rsidRPr="00BE538F">
        <w:rPr>
          <w:rFonts w:ascii="Arial" w:hAnsi="Arial" w:cs="Arial"/>
          <w:sz w:val="24"/>
          <w:szCs w:val="24"/>
        </w:rPr>
        <w:t>;</w:t>
      </w:r>
    </w:p>
    <w:p w14:paraId="30B0A8F2" w14:textId="7FB61849" w:rsidR="00EB3550" w:rsidRPr="00BE538F" w:rsidRDefault="00EB3550" w:rsidP="00BE538F">
      <w:pPr>
        <w:pStyle w:val="ListParagraph"/>
        <w:numPr>
          <w:ilvl w:val="0"/>
          <w:numId w:val="9"/>
        </w:numPr>
        <w:spacing w:after="200" w:line="360" w:lineRule="auto"/>
        <w:rPr>
          <w:rFonts w:ascii="Arial" w:hAnsi="Arial" w:cs="Arial"/>
          <w:sz w:val="24"/>
          <w:szCs w:val="24"/>
        </w:rPr>
      </w:pPr>
      <w:r w:rsidRPr="00BE538F">
        <w:rPr>
          <w:rFonts w:ascii="Arial" w:hAnsi="Arial" w:cs="Arial"/>
          <w:sz w:val="24"/>
          <w:szCs w:val="24"/>
        </w:rPr>
        <w:t>Proposals should demonstrate that they do not have an unacceptable adverse effect on the environment</w:t>
      </w:r>
      <w:r w:rsidR="009441E5" w:rsidRPr="00BE538F">
        <w:rPr>
          <w:rFonts w:ascii="Arial" w:hAnsi="Arial" w:cs="Arial"/>
          <w:sz w:val="24"/>
          <w:szCs w:val="24"/>
        </w:rPr>
        <w:t>;</w:t>
      </w:r>
    </w:p>
    <w:p w14:paraId="044E23BC" w14:textId="3A5EE2FA" w:rsidR="00EB3550" w:rsidRPr="00BE538F" w:rsidRDefault="00EB3550" w:rsidP="00BE538F">
      <w:pPr>
        <w:pStyle w:val="ListParagraph"/>
        <w:numPr>
          <w:ilvl w:val="0"/>
          <w:numId w:val="9"/>
        </w:numPr>
        <w:spacing w:after="200" w:line="360" w:lineRule="auto"/>
        <w:rPr>
          <w:rFonts w:ascii="Arial" w:hAnsi="Arial" w:cs="Arial"/>
          <w:sz w:val="24"/>
          <w:szCs w:val="24"/>
        </w:rPr>
      </w:pPr>
      <w:r w:rsidRPr="00BE538F">
        <w:rPr>
          <w:rFonts w:ascii="Arial" w:hAnsi="Arial" w:cs="Arial"/>
          <w:sz w:val="24"/>
          <w:szCs w:val="24"/>
        </w:rPr>
        <w:lastRenderedPageBreak/>
        <w:t>Proposals should describe the net benefits the scheme will bring to local communities</w:t>
      </w:r>
      <w:r w:rsidR="009441E5" w:rsidRPr="00BE538F">
        <w:rPr>
          <w:rFonts w:ascii="Arial" w:hAnsi="Arial" w:cs="Arial"/>
          <w:sz w:val="24"/>
          <w:szCs w:val="24"/>
        </w:rPr>
        <w:t>;</w:t>
      </w:r>
    </w:p>
    <w:p w14:paraId="44BD9247" w14:textId="4A9D7308" w:rsidR="00EB3550" w:rsidRPr="00BE538F" w:rsidRDefault="00EB3550" w:rsidP="00BE538F">
      <w:pPr>
        <w:pStyle w:val="ListParagraph"/>
        <w:numPr>
          <w:ilvl w:val="0"/>
          <w:numId w:val="9"/>
        </w:numPr>
        <w:spacing w:after="200" w:line="360" w:lineRule="auto"/>
        <w:rPr>
          <w:rFonts w:ascii="Arial" w:hAnsi="Arial" w:cs="Arial"/>
          <w:sz w:val="24"/>
          <w:szCs w:val="24"/>
        </w:rPr>
      </w:pPr>
      <w:r w:rsidRPr="00BE538F">
        <w:rPr>
          <w:rFonts w:ascii="Arial" w:hAnsi="Arial" w:cs="Arial"/>
          <w:sz w:val="24"/>
          <w:szCs w:val="24"/>
        </w:rPr>
        <w:t>Proposals requiring new grid infrastructure should be designed to minimise visual impact on communities and individual dwellings</w:t>
      </w:r>
      <w:r w:rsidR="009441E5" w:rsidRPr="00BE538F">
        <w:rPr>
          <w:rFonts w:ascii="Arial" w:hAnsi="Arial" w:cs="Arial"/>
          <w:sz w:val="24"/>
          <w:szCs w:val="24"/>
        </w:rPr>
        <w:t>;</w:t>
      </w:r>
    </w:p>
    <w:p w14:paraId="37A1835D" w14:textId="64FC0953" w:rsidR="00EB3550" w:rsidRPr="00BE538F" w:rsidRDefault="00EB3550" w:rsidP="00BE538F">
      <w:pPr>
        <w:pStyle w:val="ListParagraph"/>
        <w:numPr>
          <w:ilvl w:val="0"/>
          <w:numId w:val="9"/>
        </w:numPr>
        <w:spacing w:after="200" w:line="360" w:lineRule="auto"/>
        <w:rPr>
          <w:rFonts w:ascii="Arial" w:hAnsi="Arial" w:cs="Arial"/>
          <w:sz w:val="24"/>
          <w:szCs w:val="24"/>
        </w:rPr>
      </w:pPr>
      <w:r w:rsidRPr="00BE538F">
        <w:rPr>
          <w:rFonts w:ascii="Arial" w:hAnsi="Arial" w:cs="Arial"/>
          <w:sz w:val="24"/>
          <w:szCs w:val="24"/>
        </w:rPr>
        <w:t>Proposals should cause no negative impact on designated sites or protected habitats and species without overriding public interest, and should provide proper compensatory measures</w:t>
      </w:r>
      <w:r w:rsidR="009441E5" w:rsidRPr="00BE538F">
        <w:rPr>
          <w:rFonts w:ascii="Arial" w:hAnsi="Arial" w:cs="Arial"/>
          <w:sz w:val="24"/>
          <w:szCs w:val="24"/>
        </w:rPr>
        <w:t>;</w:t>
      </w:r>
    </w:p>
    <w:p w14:paraId="4A394AE5" w14:textId="63AAD5C5" w:rsidR="00EB3550" w:rsidRPr="00BE538F" w:rsidRDefault="00EB3550" w:rsidP="00BE538F">
      <w:pPr>
        <w:pStyle w:val="ListParagraph"/>
        <w:numPr>
          <w:ilvl w:val="0"/>
          <w:numId w:val="9"/>
        </w:numPr>
        <w:spacing w:after="200" w:line="360" w:lineRule="auto"/>
        <w:rPr>
          <w:rFonts w:ascii="Arial" w:hAnsi="Arial" w:cs="Arial"/>
          <w:sz w:val="24"/>
          <w:szCs w:val="24"/>
        </w:rPr>
      </w:pPr>
      <w:r w:rsidRPr="00BE538F">
        <w:rPr>
          <w:rFonts w:ascii="Arial" w:hAnsi="Arial" w:cs="Arial"/>
          <w:sz w:val="24"/>
          <w:szCs w:val="24"/>
        </w:rPr>
        <w:t>Proposals must include biodiversity enhancement measures to provide a net benefit</w:t>
      </w:r>
      <w:r w:rsidR="009441E5" w:rsidRPr="00BE538F">
        <w:rPr>
          <w:rFonts w:ascii="Arial" w:hAnsi="Arial" w:cs="Arial"/>
          <w:sz w:val="24"/>
          <w:szCs w:val="24"/>
        </w:rPr>
        <w:t>;</w:t>
      </w:r>
    </w:p>
    <w:p w14:paraId="12FB114E" w14:textId="15DF9B5B" w:rsidR="00EB3550" w:rsidRPr="00BE538F" w:rsidRDefault="00EB3550" w:rsidP="00BE538F">
      <w:pPr>
        <w:pStyle w:val="ListParagraph"/>
        <w:numPr>
          <w:ilvl w:val="0"/>
          <w:numId w:val="9"/>
        </w:numPr>
        <w:spacing w:after="200" w:line="360" w:lineRule="auto"/>
        <w:rPr>
          <w:rFonts w:ascii="Arial" w:hAnsi="Arial" w:cs="Arial"/>
          <w:sz w:val="24"/>
          <w:szCs w:val="24"/>
        </w:rPr>
      </w:pPr>
      <w:r w:rsidRPr="00BE538F">
        <w:rPr>
          <w:rFonts w:ascii="Arial" w:hAnsi="Arial" w:cs="Arial"/>
          <w:sz w:val="24"/>
          <w:szCs w:val="24"/>
        </w:rPr>
        <w:t>Proposals should cause no unacceptable impacts by way of shadow flicker, noise, reflected light, air quality or electromagnetic disturbance</w:t>
      </w:r>
      <w:r w:rsidR="009441E5" w:rsidRPr="00BE538F">
        <w:rPr>
          <w:rFonts w:ascii="Arial" w:hAnsi="Arial" w:cs="Arial"/>
          <w:sz w:val="24"/>
          <w:szCs w:val="24"/>
        </w:rPr>
        <w:t>;</w:t>
      </w:r>
    </w:p>
    <w:p w14:paraId="44D39635" w14:textId="368D60E0" w:rsidR="00EB3550" w:rsidRPr="00BE538F" w:rsidRDefault="00EB3550" w:rsidP="00BE538F">
      <w:pPr>
        <w:pStyle w:val="ListParagraph"/>
        <w:numPr>
          <w:ilvl w:val="0"/>
          <w:numId w:val="9"/>
        </w:numPr>
        <w:spacing w:after="200" w:line="360" w:lineRule="auto"/>
        <w:rPr>
          <w:rFonts w:ascii="Arial" w:hAnsi="Arial" w:cs="Arial"/>
          <w:sz w:val="24"/>
          <w:szCs w:val="24"/>
        </w:rPr>
      </w:pPr>
      <w:r w:rsidRPr="00BE538F">
        <w:rPr>
          <w:rFonts w:ascii="Arial" w:hAnsi="Arial" w:cs="Arial"/>
          <w:sz w:val="24"/>
          <w:szCs w:val="24"/>
        </w:rPr>
        <w:t>Proposals should cause no impact on mid Wales low flying tactical training area</w:t>
      </w:r>
      <w:r w:rsidR="009441E5" w:rsidRPr="00BE538F">
        <w:rPr>
          <w:rFonts w:ascii="Arial" w:hAnsi="Arial" w:cs="Arial"/>
          <w:sz w:val="24"/>
          <w:szCs w:val="24"/>
        </w:rPr>
        <w:t>;</w:t>
      </w:r>
    </w:p>
    <w:p w14:paraId="043643ED" w14:textId="4BA8D462" w:rsidR="00EB3550" w:rsidRPr="00BE538F" w:rsidRDefault="00EB3550" w:rsidP="00BE538F">
      <w:pPr>
        <w:pStyle w:val="ListParagraph"/>
        <w:numPr>
          <w:ilvl w:val="0"/>
          <w:numId w:val="9"/>
        </w:numPr>
        <w:spacing w:after="200" w:line="360" w:lineRule="auto"/>
        <w:rPr>
          <w:rFonts w:ascii="Arial" w:hAnsi="Arial" w:cs="Arial"/>
          <w:sz w:val="24"/>
          <w:szCs w:val="24"/>
        </w:rPr>
      </w:pPr>
      <w:r w:rsidRPr="00BE538F">
        <w:rPr>
          <w:rFonts w:ascii="Arial" w:hAnsi="Arial" w:cs="Arial"/>
          <w:sz w:val="24"/>
          <w:szCs w:val="24"/>
        </w:rPr>
        <w:t>Proposals should consider the materials needed/generated to ensure sustainable use and management of resources</w:t>
      </w:r>
      <w:r w:rsidR="009441E5" w:rsidRPr="00BE538F">
        <w:rPr>
          <w:rFonts w:ascii="Arial" w:hAnsi="Arial" w:cs="Arial"/>
          <w:sz w:val="24"/>
          <w:szCs w:val="24"/>
        </w:rPr>
        <w:t>;</w:t>
      </w:r>
    </w:p>
    <w:p w14:paraId="30D89851" w14:textId="113BA147" w:rsidR="00EB3550" w:rsidRPr="00BE538F" w:rsidRDefault="00EB3550" w:rsidP="00BE538F">
      <w:pPr>
        <w:pStyle w:val="ListParagraph"/>
        <w:numPr>
          <w:ilvl w:val="0"/>
          <w:numId w:val="9"/>
        </w:numPr>
        <w:spacing w:after="200" w:line="360" w:lineRule="auto"/>
        <w:rPr>
          <w:rFonts w:ascii="Arial" w:hAnsi="Arial" w:cs="Arial"/>
          <w:sz w:val="24"/>
          <w:szCs w:val="24"/>
        </w:rPr>
      </w:pPr>
      <w:r w:rsidRPr="00BE538F">
        <w:rPr>
          <w:rFonts w:ascii="Arial" w:hAnsi="Arial" w:cs="Arial"/>
          <w:sz w:val="24"/>
          <w:szCs w:val="24"/>
        </w:rPr>
        <w:t>Proposals should have acceptable provisions for decommissioning, including effective restoration</w:t>
      </w:r>
      <w:r w:rsidR="009441E5" w:rsidRPr="00BE538F">
        <w:rPr>
          <w:rFonts w:ascii="Arial" w:hAnsi="Arial" w:cs="Arial"/>
          <w:sz w:val="24"/>
          <w:szCs w:val="24"/>
        </w:rPr>
        <w:t>; and</w:t>
      </w:r>
    </w:p>
    <w:p w14:paraId="00581E44" w14:textId="77777777" w:rsidR="00EB3550" w:rsidRPr="00BE538F" w:rsidRDefault="00EB3550" w:rsidP="00BE538F">
      <w:pPr>
        <w:pStyle w:val="ListParagraph"/>
        <w:numPr>
          <w:ilvl w:val="0"/>
          <w:numId w:val="9"/>
        </w:numPr>
        <w:spacing w:after="200" w:line="360" w:lineRule="auto"/>
        <w:rPr>
          <w:rFonts w:ascii="Arial" w:hAnsi="Arial" w:cs="Arial"/>
          <w:sz w:val="24"/>
          <w:szCs w:val="24"/>
        </w:rPr>
      </w:pPr>
      <w:r w:rsidRPr="00BE538F">
        <w:rPr>
          <w:rFonts w:ascii="Arial" w:hAnsi="Arial" w:cs="Arial"/>
          <w:sz w:val="24"/>
          <w:szCs w:val="24"/>
        </w:rPr>
        <w:t>Proposals should consider the cumulative impact of existing and consented renewable energy schemes.</w:t>
      </w:r>
    </w:p>
    <w:p w14:paraId="4F8DCB14"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PPW contains additional guidance to LPAs. It states:</w:t>
      </w:r>
    </w:p>
    <w:p w14:paraId="0DB496D6" w14:textId="77777777" w:rsidR="00EB3550" w:rsidRPr="00BE538F" w:rsidRDefault="00EB3550" w:rsidP="00BE538F">
      <w:pPr>
        <w:pStyle w:val="ListParagraph"/>
        <w:numPr>
          <w:ilvl w:val="0"/>
          <w:numId w:val="9"/>
        </w:numPr>
        <w:spacing w:after="200" w:line="360" w:lineRule="auto"/>
        <w:rPr>
          <w:rFonts w:ascii="Arial" w:hAnsi="Arial" w:cs="Arial"/>
          <w:sz w:val="24"/>
          <w:szCs w:val="24"/>
        </w:rPr>
      </w:pPr>
      <w:r w:rsidRPr="00BE538F">
        <w:rPr>
          <w:rFonts w:ascii="Arial" w:hAnsi="Arial" w:cs="Arial"/>
          <w:sz w:val="24"/>
          <w:szCs w:val="24"/>
        </w:rPr>
        <w:t>That all steps of proposals should consider:</w:t>
      </w:r>
    </w:p>
    <w:p w14:paraId="640B4610" w14:textId="17DE9951" w:rsidR="00EB3550" w:rsidRPr="00BE538F" w:rsidRDefault="00EB3550" w:rsidP="00BE538F">
      <w:pPr>
        <w:pStyle w:val="ListParagraph"/>
        <w:numPr>
          <w:ilvl w:val="1"/>
          <w:numId w:val="9"/>
        </w:numPr>
        <w:spacing w:after="200" w:line="360" w:lineRule="auto"/>
        <w:rPr>
          <w:rFonts w:ascii="Arial" w:hAnsi="Arial" w:cs="Arial"/>
          <w:sz w:val="24"/>
          <w:szCs w:val="24"/>
        </w:rPr>
      </w:pPr>
      <w:r w:rsidRPr="00BE538F">
        <w:rPr>
          <w:rFonts w:ascii="Arial" w:hAnsi="Arial" w:cs="Arial"/>
          <w:sz w:val="24"/>
          <w:szCs w:val="24"/>
        </w:rPr>
        <w:t>Capacity of, and effects on, the transmission network</w:t>
      </w:r>
      <w:r w:rsidR="009441E5" w:rsidRPr="00BE538F">
        <w:rPr>
          <w:rFonts w:ascii="Arial" w:hAnsi="Arial" w:cs="Arial"/>
          <w:sz w:val="24"/>
          <w:szCs w:val="24"/>
        </w:rPr>
        <w:t>;</w:t>
      </w:r>
    </w:p>
    <w:p w14:paraId="1F8BC81A" w14:textId="0E89128B" w:rsidR="00EB3550" w:rsidRPr="00BE538F" w:rsidRDefault="00EB3550" w:rsidP="00BE538F">
      <w:pPr>
        <w:pStyle w:val="ListParagraph"/>
        <w:numPr>
          <w:ilvl w:val="1"/>
          <w:numId w:val="9"/>
        </w:numPr>
        <w:spacing w:after="200" w:line="360" w:lineRule="auto"/>
        <w:rPr>
          <w:rFonts w:ascii="Arial" w:hAnsi="Arial" w:cs="Arial"/>
          <w:sz w:val="24"/>
          <w:szCs w:val="24"/>
        </w:rPr>
      </w:pPr>
      <w:r w:rsidRPr="00BE538F">
        <w:rPr>
          <w:rFonts w:ascii="Arial" w:hAnsi="Arial" w:cs="Arial"/>
          <w:sz w:val="24"/>
          <w:szCs w:val="24"/>
        </w:rPr>
        <w:t>Grid connection issues</w:t>
      </w:r>
      <w:r w:rsidR="009441E5" w:rsidRPr="00BE538F">
        <w:rPr>
          <w:rFonts w:ascii="Arial" w:hAnsi="Arial" w:cs="Arial"/>
          <w:sz w:val="24"/>
          <w:szCs w:val="24"/>
        </w:rPr>
        <w:t>; and</w:t>
      </w:r>
    </w:p>
    <w:p w14:paraId="508863B0" w14:textId="68A9BEDC" w:rsidR="00EB3550" w:rsidRPr="00BE538F" w:rsidRDefault="00EB3550" w:rsidP="00BE538F">
      <w:pPr>
        <w:pStyle w:val="ListParagraph"/>
        <w:numPr>
          <w:ilvl w:val="1"/>
          <w:numId w:val="9"/>
        </w:numPr>
        <w:spacing w:after="200" w:line="360" w:lineRule="auto"/>
        <w:rPr>
          <w:rFonts w:ascii="Arial" w:hAnsi="Arial" w:cs="Arial"/>
          <w:sz w:val="24"/>
          <w:szCs w:val="24"/>
        </w:rPr>
      </w:pPr>
      <w:r w:rsidRPr="00BE538F">
        <w:rPr>
          <w:rFonts w:ascii="Arial" w:hAnsi="Arial" w:cs="Arial"/>
          <w:sz w:val="24"/>
          <w:szCs w:val="24"/>
        </w:rPr>
        <w:t>Impacts of climate change on the location, design, build and operation of renewable and low-carbon energy development</w:t>
      </w:r>
      <w:r w:rsidR="009441E5" w:rsidRPr="00BE538F">
        <w:rPr>
          <w:rFonts w:ascii="Arial" w:hAnsi="Arial" w:cs="Arial"/>
          <w:sz w:val="24"/>
          <w:szCs w:val="24"/>
        </w:rPr>
        <w:t>.</w:t>
      </w:r>
    </w:p>
    <w:p w14:paraId="1B653367" w14:textId="1F7D2B06" w:rsidR="00EB3550" w:rsidRPr="00BE538F" w:rsidRDefault="00EB3550" w:rsidP="00BE538F">
      <w:pPr>
        <w:pStyle w:val="ListParagraph"/>
        <w:numPr>
          <w:ilvl w:val="0"/>
          <w:numId w:val="9"/>
        </w:numPr>
        <w:spacing w:after="200" w:line="360" w:lineRule="auto"/>
        <w:rPr>
          <w:rFonts w:ascii="Arial" w:hAnsi="Arial" w:cs="Arial"/>
          <w:sz w:val="24"/>
          <w:szCs w:val="24"/>
        </w:rPr>
      </w:pPr>
      <w:r w:rsidRPr="00BE538F">
        <w:rPr>
          <w:rFonts w:ascii="Arial" w:hAnsi="Arial" w:cs="Arial"/>
          <w:sz w:val="24"/>
          <w:szCs w:val="24"/>
        </w:rPr>
        <w:t>That all projects are expected to include an element of local ownership, as detailed further in the local and shared ownership guidance</w:t>
      </w:r>
      <w:r w:rsidR="009441E5" w:rsidRPr="00BE538F">
        <w:rPr>
          <w:rFonts w:ascii="Arial" w:hAnsi="Arial" w:cs="Arial"/>
          <w:sz w:val="24"/>
          <w:szCs w:val="24"/>
        </w:rPr>
        <w:t xml:space="preserve"> </w:t>
      </w:r>
      <w:hyperlink r:id="rId23" w:history="1">
        <w:r w:rsidR="009441E5" w:rsidRPr="00BE538F">
          <w:rPr>
            <w:rStyle w:val="Hyperlink"/>
            <w:rFonts w:ascii="Arial" w:hAnsi="Arial" w:cs="Arial"/>
            <w:sz w:val="24"/>
            <w:szCs w:val="24"/>
          </w:rPr>
          <w:t>(Welsh Government, 2022)</w:t>
        </w:r>
      </w:hyperlink>
      <w:r w:rsidRPr="00BE538F">
        <w:rPr>
          <w:rFonts w:ascii="Arial" w:hAnsi="Arial" w:cs="Arial"/>
          <w:sz w:val="24"/>
          <w:szCs w:val="24"/>
        </w:rPr>
        <w:t>.</w:t>
      </w:r>
    </w:p>
    <w:p w14:paraId="1471AF71" w14:textId="161FB776"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The Design Commission for Wales provides an additional list of design objectives for energy projects</w:t>
      </w:r>
      <w:bookmarkStart w:id="16" w:name="_Ref180767142"/>
      <w:r w:rsidR="009441E5" w:rsidRPr="00BE538F">
        <w:rPr>
          <w:rFonts w:ascii="Arial" w:hAnsi="Arial" w:cs="Arial"/>
          <w:sz w:val="24"/>
          <w:szCs w:val="24"/>
        </w:rPr>
        <w:t xml:space="preserve"> </w:t>
      </w:r>
      <w:hyperlink r:id="rId24" w:history="1">
        <w:r w:rsidR="009441E5" w:rsidRPr="00BE538F">
          <w:rPr>
            <w:rStyle w:val="Hyperlink"/>
            <w:rFonts w:ascii="Arial" w:hAnsi="Arial" w:cs="Arial"/>
            <w:sz w:val="24"/>
            <w:szCs w:val="24"/>
          </w:rPr>
          <w:t>(</w:t>
        </w:r>
        <w:r w:rsidR="00286791" w:rsidRPr="00BE538F">
          <w:rPr>
            <w:rStyle w:val="Hyperlink"/>
            <w:rFonts w:ascii="Arial" w:hAnsi="Arial" w:cs="Arial"/>
            <w:sz w:val="24"/>
            <w:szCs w:val="24"/>
          </w:rPr>
          <w:t>Design Commission for Wales, 2023)</w:t>
        </w:r>
      </w:hyperlink>
      <w:r w:rsidRPr="00BE538F">
        <w:rPr>
          <w:rFonts w:ascii="Arial" w:hAnsi="Arial" w:cs="Arial"/>
          <w:sz w:val="24"/>
          <w:szCs w:val="24"/>
        </w:rPr>
        <w:t>, including:</w:t>
      </w:r>
      <w:bookmarkEnd w:id="16"/>
    </w:p>
    <w:p w14:paraId="68643E4A" w14:textId="3E3B5EBF" w:rsidR="00EB3550" w:rsidRPr="00BE538F" w:rsidRDefault="00EB3550" w:rsidP="00BE538F">
      <w:pPr>
        <w:pStyle w:val="ListParagraph"/>
        <w:numPr>
          <w:ilvl w:val="0"/>
          <w:numId w:val="9"/>
        </w:numPr>
        <w:spacing w:after="200" w:line="360" w:lineRule="auto"/>
        <w:rPr>
          <w:rFonts w:ascii="Arial" w:hAnsi="Arial" w:cs="Arial"/>
          <w:sz w:val="24"/>
          <w:szCs w:val="24"/>
        </w:rPr>
      </w:pPr>
      <w:r w:rsidRPr="00BE538F">
        <w:rPr>
          <w:rFonts w:ascii="Arial" w:hAnsi="Arial" w:cs="Arial"/>
          <w:sz w:val="24"/>
          <w:szCs w:val="24"/>
        </w:rPr>
        <w:t>Maximise benefits to local communities</w:t>
      </w:r>
      <w:r w:rsidR="009441E5" w:rsidRPr="00BE538F">
        <w:rPr>
          <w:rFonts w:ascii="Arial" w:hAnsi="Arial" w:cs="Arial"/>
          <w:sz w:val="24"/>
          <w:szCs w:val="24"/>
        </w:rPr>
        <w:t>;</w:t>
      </w:r>
    </w:p>
    <w:p w14:paraId="68B69E95" w14:textId="623E3CEE" w:rsidR="00EB3550" w:rsidRPr="00BE538F" w:rsidRDefault="00EB3550" w:rsidP="00BE538F">
      <w:pPr>
        <w:pStyle w:val="ListParagraph"/>
        <w:numPr>
          <w:ilvl w:val="0"/>
          <w:numId w:val="9"/>
        </w:numPr>
        <w:spacing w:after="200" w:line="360" w:lineRule="auto"/>
        <w:rPr>
          <w:rFonts w:ascii="Arial" w:hAnsi="Arial" w:cs="Arial"/>
          <w:sz w:val="24"/>
          <w:szCs w:val="24"/>
        </w:rPr>
      </w:pPr>
      <w:r w:rsidRPr="00BE538F">
        <w:rPr>
          <w:rFonts w:ascii="Arial" w:hAnsi="Arial" w:cs="Arial"/>
          <w:sz w:val="24"/>
          <w:szCs w:val="24"/>
        </w:rPr>
        <w:lastRenderedPageBreak/>
        <w:t>Avoid negative environmental impacts on nature and wildlife</w:t>
      </w:r>
      <w:r w:rsidR="009441E5" w:rsidRPr="00BE538F">
        <w:rPr>
          <w:rFonts w:ascii="Arial" w:hAnsi="Arial" w:cs="Arial"/>
          <w:sz w:val="24"/>
          <w:szCs w:val="24"/>
        </w:rPr>
        <w:t>;</w:t>
      </w:r>
    </w:p>
    <w:p w14:paraId="40EEA414" w14:textId="1954966E" w:rsidR="00EB3550" w:rsidRPr="00BE538F" w:rsidRDefault="00EB3550" w:rsidP="00BE538F">
      <w:pPr>
        <w:pStyle w:val="ListParagraph"/>
        <w:numPr>
          <w:ilvl w:val="0"/>
          <w:numId w:val="9"/>
        </w:numPr>
        <w:spacing w:after="200" w:line="360" w:lineRule="auto"/>
        <w:rPr>
          <w:rFonts w:ascii="Arial" w:hAnsi="Arial" w:cs="Arial"/>
          <w:sz w:val="24"/>
          <w:szCs w:val="24"/>
        </w:rPr>
      </w:pPr>
      <w:r w:rsidRPr="00BE538F">
        <w:rPr>
          <w:rFonts w:ascii="Arial" w:hAnsi="Arial" w:cs="Arial"/>
          <w:sz w:val="24"/>
          <w:szCs w:val="24"/>
        </w:rPr>
        <w:t>Enhance the ecological diversity of the site to provide a net benefit</w:t>
      </w:r>
      <w:r w:rsidR="009441E5" w:rsidRPr="00BE538F">
        <w:rPr>
          <w:rFonts w:ascii="Arial" w:hAnsi="Arial" w:cs="Arial"/>
          <w:sz w:val="24"/>
          <w:szCs w:val="24"/>
        </w:rPr>
        <w:t>;</w:t>
      </w:r>
    </w:p>
    <w:p w14:paraId="1E1966F7" w14:textId="6BFC508C" w:rsidR="00EB3550" w:rsidRPr="00BE538F" w:rsidRDefault="00EB3550" w:rsidP="00BE538F">
      <w:pPr>
        <w:pStyle w:val="ListParagraph"/>
        <w:numPr>
          <w:ilvl w:val="0"/>
          <w:numId w:val="9"/>
        </w:numPr>
        <w:spacing w:after="200" w:line="360" w:lineRule="auto"/>
        <w:rPr>
          <w:rFonts w:ascii="Arial" w:hAnsi="Arial" w:cs="Arial"/>
          <w:sz w:val="24"/>
          <w:szCs w:val="24"/>
        </w:rPr>
      </w:pPr>
      <w:r w:rsidRPr="00BE538F">
        <w:rPr>
          <w:rFonts w:ascii="Arial" w:hAnsi="Arial" w:cs="Arial"/>
          <w:sz w:val="24"/>
          <w:szCs w:val="24"/>
        </w:rPr>
        <w:t>Minimise environmental impact with sustainable construction throughout all stages</w:t>
      </w:r>
      <w:r w:rsidR="009441E5" w:rsidRPr="00BE538F">
        <w:rPr>
          <w:rFonts w:ascii="Arial" w:hAnsi="Arial" w:cs="Arial"/>
          <w:sz w:val="24"/>
          <w:szCs w:val="24"/>
        </w:rPr>
        <w:t>;</w:t>
      </w:r>
      <w:r w:rsidRPr="00BE538F">
        <w:rPr>
          <w:rFonts w:ascii="Arial" w:hAnsi="Arial" w:cs="Arial"/>
          <w:sz w:val="24"/>
          <w:szCs w:val="24"/>
        </w:rPr>
        <w:t xml:space="preserve"> </w:t>
      </w:r>
    </w:p>
    <w:p w14:paraId="4F8FC116" w14:textId="6CB5EEEC" w:rsidR="00EB3550" w:rsidRPr="00BE538F" w:rsidRDefault="00EB3550" w:rsidP="00BE538F">
      <w:pPr>
        <w:pStyle w:val="ListParagraph"/>
        <w:numPr>
          <w:ilvl w:val="0"/>
          <w:numId w:val="9"/>
        </w:numPr>
        <w:spacing w:after="200" w:line="360" w:lineRule="auto"/>
        <w:rPr>
          <w:rFonts w:ascii="Arial" w:hAnsi="Arial" w:cs="Arial"/>
          <w:sz w:val="24"/>
          <w:szCs w:val="24"/>
        </w:rPr>
      </w:pPr>
      <w:r w:rsidRPr="00BE538F">
        <w:rPr>
          <w:rFonts w:ascii="Arial" w:hAnsi="Arial" w:cs="Arial"/>
          <w:sz w:val="24"/>
          <w:szCs w:val="24"/>
        </w:rPr>
        <w:t>Make meaningful changes to the landscape through design</w:t>
      </w:r>
      <w:r w:rsidR="009441E5" w:rsidRPr="00BE538F">
        <w:rPr>
          <w:rFonts w:ascii="Arial" w:hAnsi="Arial" w:cs="Arial"/>
          <w:sz w:val="24"/>
          <w:szCs w:val="24"/>
        </w:rPr>
        <w:t>; and</w:t>
      </w:r>
    </w:p>
    <w:p w14:paraId="58EF3B0A" w14:textId="77C4503F" w:rsidR="00EB3550" w:rsidRPr="00BE538F" w:rsidRDefault="00EB3550" w:rsidP="00BE538F">
      <w:pPr>
        <w:pStyle w:val="ListParagraph"/>
        <w:numPr>
          <w:ilvl w:val="0"/>
          <w:numId w:val="9"/>
        </w:numPr>
        <w:spacing w:after="200" w:line="360" w:lineRule="auto"/>
        <w:rPr>
          <w:rFonts w:ascii="Arial" w:hAnsi="Arial" w:cs="Arial"/>
          <w:sz w:val="24"/>
          <w:szCs w:val="24"/>
        </w:rPr>
      </w:pPr>
      <w:r w:rsidRPr="00BE538F">
        <w:rPr>
          <w:rFonts w:ascii="Arial" w:hAnsi="Arial" w:cs="Arial"/>
          <w:sz w:val="24"/>
          <w:szCs w:val="24"/>
        </w:rPr>
        <w:t>Site design should be informed by local vernacular.</w:t>
      </w:r>
    </w:p>
    <w:p w14:paraId="6CB8C480" w14:textId="77777777" w:rsidR="00EB3550" w:rsidRPr="00BE538F" w:rsidRDefault="00EB3550" w:rsidP="00527B0F">
      <w:pPr>
        <w:pStyle w:val="Heading2"/>
        <w:rPr>
          <w:rFonts w:ascii="Arial" w:hAnsi="Arial" w:cs="Arial"/>
        </w:rPr>
      </w:pPr>
      <w:bookmarkStart w:id="17" w:name="_Toc188013947"/>
      <w:bookmarkStart w:id="18" w:name="_Toc198879952"/>
      <w:r w:rsidRPr="00BE538F">
        <w:rPr>
          <w:rFonts w:ascii="Arial" w:hAnsi="Arial" w:cs="Arial"/>
        </w:rPr>
        <w:t>2.3 Scotland</w:t>
      </w:r>
      <w:bookmarkEnd w:id="17"/>
      <w:bookmarkEnd w:id="18"/>
    </w:p>
    <w:p w14:paraId="0757427D"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Scotland’s National Planning Framework (NPF4)</w:t>
      </w:r>
      <w:bookmarkStart w:id="19" w:name="_Ref181007226"/>
      <w:r w:rsidRPr="00BE538F">
        <w:rPr>
          <w:rStyle w:val="FootnoteReference"/>
          <w:rFonts w:ascii="Arial" w:hAnsi="Arial" w:cs="Arial"/>
          <w:sz w:val="24"/>
          <w:szCs w:val="24"/>
        </w:rPr>
        <w:t xml:space="preserve"> </w:t>
      </w:r>
      <w:bookmarkEnd w:id="19"/>
      <w:r w:rsidRPr="00BE538F">
        <w:rPr>
          <w:rFonts w:ascii="Arial" w:hAnsi="Arial" w:cs="Arial"/>
          <w:sz w:val="24"/>
          <w:szCs w:val="24"/>
        </w:rPr>
        <w:t>sets out the following key considerations for renewables:</w:t>
      </w:r>
    </w:p>
    <w:p w14:paraId="399E5CC0" w14:textId="082EACED" w:rsidR="00EB3550" w:rsidRPr="00BE538F" w:rsidRDefault="00EB3550" w:rsidP="00BE538F">
      <w:pPr>
        <w:pStyle w:val="ListParagraph"/>
        <w:numPr>
          <w:ilvl w:val="0"/>
          <w:numId w:val="16"/>
        </w:numPr>
        <w:spacing w:after="200" w:line="360" w:lineRule="auto"/>
        <w:rPr>
          <w:rFonts w:ascii="Arial" w:hAnsi="Arial" w:cs="Arial"/>
          <w:sz w:val="24"/>
          <w:szCs w:val="24"/>
        </w:rPr>
      </w:pPr>
      <w:r w:rsidRPr="00BE538F">
        <w:rPr>
          <w:rFonts w:ascii="Arial" w:hAnsi="Arial" w:cs="Arial"/>
          <w:sz w:val="24"/>
          <w:szCs w:val="24"/>
        </w:rPr>
        <w:t>Development must maximise net economic impact, including local and community socio-economic benefits</w:t>
      </w:r>
      <w:r w:rsidR="00EB16C8" w:rsidRPr="00BE538F">
        <w:rPr>
          <w:rFonts w:ascii="Arial" w:hAnsi="Arial" w:cs="Arial"/>
          <w:sz w:val="24"/>
          <w:szCs w:val="24"/>
        </w:rPr>
        <w:t>;</w:t>
      </w:r>
    </w:p>
    <w:p w14:paraId="0B58F317" w14:textId="77777777" w:rsidR="00EB3550" w:rsidRPr="00BE538F" w:rsidRDefault="00EB3550" w:rsidP="00BE538F">
      <w:pPr>
        <w:pStyle w:val="ListParagraph"/>
        <w:numPr>
          <w:ilvl w:val="0"/>
          <w:numId w:val="16"/>
        </w:numPr>
        <w:spacing w:after="200" w:line="360" w:lineRule="auto"/>
        <w:rPr>
          <w:rFonts w:ascii="Arial" w:hAnsi="Arial" w:cs="Arial"/>
          <w:sz w:val="24"/>
          <w:szCs w:val="24"/>
        </w:rPr>
      </w:pPr>
      <w:r w:rsidRPr="00BE538F">
        <w:rPr>
          <w:rFonts w:ascii="Arial" w:hAnsi="Arial" w:cs="Arial"/>
          <w:sz w:val="24"/>
          <w:szCs w:val="24"/>
        </w:rPr>
        <w:t>Development proposals which impact sites of international or national designations:</w:t>
      </w:r>
    </w:p>
    <w:p w14:paraId="6E727BD0" w14:textId="3A093F25" w:rsidR="00EB3550" w:rsidRPr="00BE538F" w:rsidRDefault="00EB3550" w:rsidP="00BE538F">
      <w:pPr>
        <w:pStyle w:val="ListParagraph"/>
        <w:numPr>
          <w:ilvl w:val="1"/>
          <w:numId w:val="16"/>
        </w:numPr>
        <w:spacing w:after="200" w:line="360" w:lineRule="auto"/>
        <w:rPr>
          <w:rFonts w:ascii="Arial" w:hAnsi="Arial" w:cs="Arial"/>
          <w:sz w:val="24"/>
          <w:szCs w:val="24"/>
        </w:rPr>
      </w:pPr>
      <w:r w:rsidRPr="00BE538F">
        <w:rPr>
          <w:rFonts w:ascii="Arial" w:hAnsi="Arial" w:cs="Arial"/>
          <w:sz w:val="24"/>
          <w:szCs w:val="24"/>
        </w:rPr>
        <w:t>Must include an “appropriate assessment” of the implications of conservation objectives for special areas of conservation or protection</w:t>
      </w:r>
      <w:r w:rsidR="00EB16C8" w:rsidRPr="00BE538F">
        <w:rPr>
          <w:rFonts w:ascii="Arial" w:hAnsi="Arial" w:cs="Arial"/>
          <w:sz w:val="24"/>
          <w:szCs w:val="24"/>
        </w:rPr>
        <w:t>;</w:t>
      </w:r>
    </w:p>
    <w:p w14:paraId="3904DF30" w14:textId="0BB18860" w:rsidR="00EB3550" w:rsidRPr="00BE538F" w:rsidRDefault="00EB3550" w:rsidP="00BE538F">
      <w:pPr>
        <w:pStyle w:val="ListParagraph"/>
        <w:numPr>
          <w:ilvl w:val="1"/>
          <w:numId w:val="16"/>
        </w:numPr>
        <w:spacing w:after="200" w:line="360" w:lineRule="auto"/>
        <w:rPr>
          <w:rFonts w:ascii="Arial" w:hAnsi="Arial" w:cs="Arial"/>
          <w:sz w:val="24"/>
          <w:szCs w:val="24"/>
        </w:rPr>
      </w:pPr>
      <w:r w:rsidRPr="00BE538F">
        <w:rPr>
          <w:rFonts w:ascii="Arial" w:hAnsi="Arial" w:cs="Arial"/>
          <w:sz w:val="24"/>
          <w:szCs w:val="24"/>
        </w:rPr>
        <w:t>The objectives of the designation and area integrity will not be compromised</w:t>
      </w:r>
      <w:r w:rsidR="00EB16C8" w:rsidRPr="00BE538F">
        <w:rPr>
          <w:rFonts w:ascii="Arial" w:hAnsi="Arial" w:cs="Arial"/>
          <w:sz w:val="24"/>
          <w:szCs w:val="24"/>
        </w:rPr>
        <w:t>;</w:t>
      </w:r>
    </w:p>
    <w:p w14:paraId="0AF2FB66" w14:textId="476EF96C" w:rsidR="00EB3550" w:rsidRPr="00BE538F" w:rsidRDefault="00EB3550" w:rsidP="00BE538F">
      <w:pPr>
        <w:pStyle w:val="ListParagraph"/>
        <w:numPr>
          <w:ilvl w:val="1"/>
          <w:numId w:val="16"/>
        </w:numPr>
        <w:spacing w:after="200" w:line="360" w:lineRule="auto"/>
        <w:rPr>
          <w:rFonts w:ascii="Arial" w:hAnsi="Arial" w:cs="Arial"/>
          <w:sz w:val="24"/>
          <w:szCs w:val="24"/>
        </w:rPr>
      </w:pPr>
      <w:r w:rsidRPr="00BE538F">
        <w:rPr>
          <w:rFonts w:ascii="Arial" w:hAnsi="Arial" w:cs="Arial"/>
          <w:sz w:val="24"/>
          <w:szCs w:val="24"/>
        </w:rPr>
        <w:t>Any adverse effects are outweighed by social, environmental or economic benefits of national importance</w:t>
      </w:r>
      <w:r w:rsidR="00EB16C8" w:rsidRPr="00BE538F">
        <w:rPr>
          <w:rFonts w:ascii="Arial" w:hAnsi="Arial" w:cs="Arial"/>
          <w:sz w:val="24"/>
          <w:szCs w:val="24"/>
        </w:rPr>
        <w:t>; and</w:t>
      </w:r>
    </w:p>
    <w:p w14:paraId="26A32C0F" w14:textId="69ED0ABE" w:rsidR="00EB3550" w:rsidRPr="00BE538F" w:rsidRDefault="00EB3550" w:rsidP="00BE538F">
      <w:pPr>
        <w:pStyle w:val="ListParagraph"/>
        <w:numPr>
          <w:ilvl w:val="1"/>
          <w:numId w:val="16"/>
        </w:numPr>
        <w:spacing w:after="200" w:line="360" w:lineRule="auto"/>
        <w:rPr>
          <w:rFonts w:ascii="Arial" w:hAnsi="Arial" w:cs="Arial"/>
          <w:sz w:val="24"/>
          <w:szCs w:val="24"/>
        </w:rPr>
      </w:pPr>
      <w:r w:rsidRPr="00BE538F">
        <w:rPr>
          <w:rFonts w:ascii="Arial" w:hAnsi="Arial" w:cs="Arial"/>
          <w:sz w:val="24"/>
          <w:szCs w:val="24"/>
        </w:rPr>
        <w:t xml:space="preserve">Proposals in </w:t>
      </w:r>
      <w:proofErr w:type="spellStart"/>
      <w:r w:rsidRPr="00BE538F">
        <w:rPr>
          <w:rFonts w:ascii="Arial" w:hAnsi="Arial" w:cs="Arial"/>
          <w:sz w:val="24"/>
          <w:szCs w:val="24"/>
        </w:rPr>
        <w:t>NatureScot’s</w:t>
      </w:r>
      <w:proofErr w:type="spellEnd"/>
      <w:r w:rsidRPr="00BE538F">
        <w:rPr>
          <w:rFonts w:ascii="Arial" w:hAnsi="Arial" w:cs="Arial"/>
          <w:sz w:val="24"/>
          <w:szCs w:val="24"/>
        </w:rPr>
        <w:t xml:space="preserve"> ‘Wild Land Areas’ must include a wild land impact assessment</w:t>
      </w:r>
      <w:r w:rsidR="00EB16C8" w:rsidRPr="00BE538F">
        <w:rPr>
          <w:rFonts w:ascii="Arial" w:hAnsi="Arial" w:cs="Arial"/>
          <w:sz w:val="24"/>
          <w:szCs w:val="24"/>
        </w:rPr>
        <w:t>.</w:t>
      </w:r>
    </w:p>
    <w:p w14:paraId="5CDDF12C" w14:textId="77777777" w:rsidR="00EB3550" w:rsidRPr="00BE538F" w:rsidRDefault="00EB3550" w:rsidP="00BE538F">
      <w:pPr>
        <w:pStyle w:val="ListParagraph"/>
        <w:numPr>
          <w:ilvl w:val="0"/>
          <w:numId w:val="16"/>
        </w:numPr>
        <w:spacing w:after="200" w:line="360" w:lineRule="auto"/>
        <w:rPr>
          <w:rFonts w:ascii="Arial" w:hAnsi="Arial" w:cs="Arial"/>
          <w:sz w:val="24"/>
          <w:szCs w:val="24"/>
        </w:rPr>
      </w:pPr>
      <w:r w:rsidRPr="00BE538F">
        <w:rPr>
          <w:rFonts w:ascii="Arial" w:hAnsi="Arial" w:cs="Arial"/>
          <w:sz w:val="24"/>
          <w:szCs w:val="24"/>
        </w:rPr>
        <w:t>The project design and mitigation must address the following impacts:</w:t>
      </w:r>
    </w:p>
    <w:p w14:paraId="497A07E4" w14:textId="294BFB1F" w:rsidR="00EB3550" w:rsidRPr="00BE538F" w:rsidRDefault="00EB3550" w:rsidP="00BE538F">
      <w:pPr>
        <w:pStyle w:val="ListParagraph"/>
        <w:numPr>
          <w:ilvl w:val="1"/>
          <w:numId w:val="16"/>
        </w:numPr>
        <w:spacing w:after="200" w:line="360" w:lineRule="auto"/>
        <w:rPr>
          <w:rFonts w:ascii="Arial" w:hAnsi="Arial" w:cs="Arial"/>
          <w:sz w:val="24"/>
          <w:szCs w:val="24"/>
        </w:rPr>
      </w:pPr>
      <w:r w:rsidRPr="00BE538F">
        <w:rPr>
          <w:rFonts w:ascii="Arial" w:hAnsi="Arial" w:cs="Arial"/>
          <w:sz w:val="24"/>
          <w:szCs w:val="24"/>
        </w:rPr>
        <w:t>Impacts on communities and individual dwellings (residential amenity, visual impact, noise, shadow flicker, etc.)</w:t>
      </w:r>
      <w:r w:rsidR="00EB16C8" w:rsidRPr="00BE538F">
        <w:rPr>
          <w:rFonts w:ascii="Arial" w:hAnsi="Arial" w:cs="Arial"/>
          <w:sz w:val="24"/>
          <w:szCs w:val="24"/>
        </w:rPr>
        <w:t>;</w:t>
      </w:r>
    </w:p>
    <w:p w14:paraId="698D86AC" w14:textId="63232595" w:rsidR="00EB3550" w:rsidRPr="00BE538F" w:rsidRDefault="00EB3550" w:rsidP="00BE538F">
      <w:pPr>
        <w:pStyle w:val="ListParagraph"/>
        <w:numPr>
          <w:ilvl w:val="1"/>
          <w:numId w:val="16"/>
        </w:numPr>
        <w:spacing w:after="200" w:line="360" w:lineRule="auto"/>
        <w:rPr>
          <w:rFonts w:ascii="Arial" w:hAnsi="Arial" w:cs="Arial"/>
          <w:sz w:val="24"/>
          <w:szCs w:val="24"/>
        </w:rPr>
      </w:pPr>
      <w:r w:rsidRPr="00BE538F">
        <w:rPr>
          <w:rFonts w:ascii="Arial" w:hAnsi="Arial" w:cs="Arial"/>
          <w:sz w:val="24"/>
          <w:szCs w:val="24"/>
        </w:rPr>
        <w:t>Significant landscape impacts (to be localised and include mitigations)</w:t>
      </w:r>
      <w:r w:rsidR="00EB16C8" w:rsidRPr="00BE538F">
        <w:rPr>
          <w:rFonts w:ascii="Arial" w:hAnsi="Arial" w:cs="Arial"/>
          <w:sz w:val="24"/>
          <w:szCs w:val="24"/>
        </w:rPr>
        <w:t>;</w:t>
      </w:r>
    </w:p>
    <w:p w14:paraId="7574744F" w14:textId="16133907" w:rsidR="00EB3550" w:rsidRPr="00BE538F" w:rsidRDefault="00EB3550" w:rsidP="00BE538F">
      <w:pPr>
        <w:pStyle w:val="ListParagraph"/>
        <w:numPr>
          <w:ilvl w:val="1"/>
          <w:numId w:val="16"/>
        </w:numPr>
        <w:spacing w:after="200" w:line="360" w:lineRule="auto"/>
        <w:rPr>
          <w:rFonts w:ascii="Arial" w:hAnsi="Arial" w:cs="Arial"/>
          <w:sz w:val="24"/>
          <w:szCs w:val="24"/>
        </w:rPr>
      </w:pPr>
      <w:r w:rsidRPr="00BE538F">
        <w:rPr>
          <w:rFonts w:ascii="Arial" w:hAnsi="Arial" w:cs="Arial"/>
          <w:sz w:val="24"/>
          <w:szCs w:val="24"/>
        </w:rPr>
        <w:t>Public access</w:t>
      </w:r>
      <w:r w:rsidR="00EB16C8" w:rsidRPr="00BE538F">
        <w:rPr>
          <w:rFonts w:ascii="Arial" w:hAnsi="Arial" w:cs="Arial"/>
          <w:sz w:val="24"/>
          <w:szCs w:val="24"/>
        </w:rPr>
        <w:t>;</w:t>
      </w:r>
    </w:p>
    <w:p w14:paraId="0F9EF642" w14:textId="5F57D31B" w:rsidR="00EB3550" w:rsidRPr="00BE538F" w:rsidRDefault="00EB3550" w:rsidP="00BE538F">
      <w:pPr>
        <w:pStyle w:val="ListParagraph"/>
        <w:numPr>
          <w:ilvl w:val="1"/>
          <w:numId w:val="16"/>
        </w:numPr>
        <w:spacing w:after="200" w:line="360" w:lineRule="auto"/>
        <w:rPr>
          <w:rFonts w:ascii="Arial" w:hAnsi="Arial" w:cs="Arial"/>
          <w:sz w:val="24"/>
          <w:szCs w:val="24"/>
        </w:rPr>
      </w:pPr>
      <w:r w:rsidRPr="00BE538F">
        <w:rPr>
          <w:rFonts w:ascii="Arial" w:hAnsi="Arial" w:cs="Arial"/>
          <w:sz w:val="24"/>
          <w:szCs w:val="24"/>
        </w:rPr>
        <w:t>Aviation and defence interests including seismological recording</w:t>
      </w:r>
      <w:r w:rsidR="00EB16C8" w:rsidRPr="00BE538F">
        <w:rPr>
          <w:rFonts w:ascii="Arial" w:hAnsi="Arial" w:cs="Arial"/>
          <w:sz w:val="24"/>
          <w:szCs w:val="24"/>
        </w:rPr>
        <w:t>;</w:t>
      </w:r>
    </w:p>
    <w:p w14:paraId="605A09AE" w14:textId="18C6A7C6" w:rsidR="00EB3550" w:rsidRPr="00BE538F" w:rsidRDefault="00EB3550" w:rsidP="00BE538F">
      <w:pPr>
        <w:pStyle w:val="ListParagraph"/>
        <w:numPr>
          <w:ilvl w:val="1"/>
          <w:numId w:val="16"/>
        </w:numPr>
        <w:spacing w:after="200" w:line="360" w:lineRule="auto"/>
        <w:rPr>
          <w:rFonts w:ascii="Arial" w:hAnsi="Arial" w:cs="Arial"/>
          <w:sz w:val="24"/>
          <w:szCs w:val="24"/>
        </w:rPr>
      </w:pPr>
      <w:r w:rsidRPr="00BE538F">
        <w:rPr>
          <w:rFonts w:ascii="Arial" w:hAnsi="Arial" w:cs="Arial"/>
          <w:sz w:val="24"/>
          <w:szCs w:val="24"/>
        </w:rPr>
        <w:t>Telecommunications and broadcasting installations</w:t>
      </w:r>
      <w:r w:rsidR="00EB16C8" w:rsidRPr="00BE538F">
        <w:rPr>
          <w:rFonts w:ascii="Arial" w:hAnsi="Arial" w:cs="Arial"/>
          <w:sz w:val="24"/>
          <w:szCs w:val="24"/>
        </w:rPr>
        <w:t>;</w:t>
      </w:r>
    </w:p>
    <w:p w14:paraId="793251E4" w14:textId="193513B3" w:rsidR="00EB3550" w:rsidRPr="00BE538F" w:rsidRDefault="00EB3550" w:rsidP="00BE538F">
      <w:pPr>
        <w:pStyle w:val="ListParagraph"/>
        <w:numPr>
          <w:ilvl w:val="1"/>
          <w:numId w:val="16"/>
        </w:numPr>
        <w:spacing w:after="200" w:line="360" w:lineRule="auto"/>
        <w:rPr>
          <w:rFonts w:ascii="Arial" w:hAnsi="Arial" w:cs="Arial"/>
          <w:sz w:val="24"/>
          <w:szCs w:val="24"/>
        </w:rPr>
      </w:pPr>
      <w:r w:rsidRPr="00BE538F">
        <w:rPr>
          <w:rFonts w:ascii="Arial" w:hAnsi="Arial" w:cs="Arial"/>
          <w:sz w:val="24"/>
          <w:szCs w:val="24"/>
        </w:rPr>
        <w:t>Road traffic and trunk roads, including during construction</w:t>
      </w:r>
      <w:r w:rsidR="00EB16C8" w:rsidRPr="00BE538F">
        <w:rPr>
          <w:rFonts w:ascii="Arial" w:hAnsi="Arial" w:cs="Arial"/>
          <w:sz w:val="24"/>
          <w:szCs w:val="24"/>
        </w:rPr>
        <w:t>;</w:t>
      </w:r>
    </w:p>
    <w:p w14:paraId="1A7C976F" w14:textId="339E954E" w:rsidR="00EB3550" w:rsidRPr="00BE538F" w:rsidRDefault="00EB3550" w:rsidP="00BE538F">
      <w:pPr>
        <w:pStyle w:val="ListParagraph"/>
        <w:numPr>
          <w:ilvl w:val="1"/>
          <w:numId w:val="16"/>
        </w:numPr>
        <w:spacing w:after="200" w:line="360" w:lineRule="auto"/>
        <w:rPr>
          <w:rFonts w:ascii="Arial" w:hAnsi="Arial" w:cs="Arial"/>
          <w:sz w:val="24"/>
          <w:szCs w:val="24"/>
        </w:rPr>
      </w:pPr>
      <w:r w:rsidRPr="00BE538F">
        <w:rPr>
          <w:rFonts w:ascii="Arial" w:hAnsi="Arial" w:cs="Arial"/>
          <w:sz w:val="24"/>
          <w:szCs w:val="24"/>
        </w:rPr>
        <w:t>Historic environment</w:t>
      </w:r>
      <w:r w:rsidR="00EB16C8" w:rsidRPr="00BE538F">
        <w:rPr>
          <w:rFonts w:ascii="Arial" w:hAnsi="Arial" w:cs="Arial"/>
          <w:sz w:val="24"/>
          <w:szCs w:val="24"/>
        </w:rPr>
        <w:t>;</w:t>
      </w:r>
    </w:p>
    <w:p w14:paraId="38CA3DB0" w14:textId="59DBF29F" w:rsidR="00EB3550" w:rsidRPr="00BE538F" w:rsidRDefault="00EB3550" w:rsidP="00BE538F">
      <w:pPr>
        <w:pStyle w:val="ListParagraph"/>
        <w:numPr>
          <w:ilvl w:val="1"/>
          <w:numId w:val="16"/>
        </w:numPr>
        <w:spacing w:after="200" w:line="360" w:lineRule="auto"/>
        <w:rPr>
          <w:rFonts w:ascii="Arial" w:hAnsi="Arial" w:cs="Arial"/>
          <w:sz w:val="24"/>
          <w:szCs w:val="24"/>
        </w:rPr>
      </w:pPr>
      <w:r w:rsidRPr="00BE538F">
        <w:rPr>
          <w:rFonts w:ascii="Arial" w:hAnsi="Arial" w:cs="Arial"/>
          <w:sz w:val="24"/>
          <w:szCs w:val="24"/>
        </w:rPr>
        <w:t>Hydrology, the water environment and flood risks</w:t>
      </w:r>
      <w:r w:rsidR="00EB16C8" w:rsidRPr="00BE538F">
        <w:rPr>
          <w:rFonts w:ascii="Arial" w:hAnsi="Arial" w:cs="Arial"/>
          <w:sz w:val="24"/>
          <w:szCs w:val="24"/>
        </w:rPr>
        <w:t>;</w:t>
      </w:r>
    </w:p>
    <w:p w14:paraId="41AD63E7" w14:textId="433E27AD" w:rsidR="00EB3550" w:rsidRPr="00BE538F" w:rsidRDefault="00EB3550" w:rsidP="00BE538F">
      <w:pPr>
        <w:pStyle w:val="ListParagraph"/>
        <w:numPr>
          <w:ilvl w:val="1"/>
          <w:numId w:val="16"/>
        </w:numPr>
        <w:spacing w:after="200" w:line="360" w:lineRule="auto"/>
        <w:rPr>
          <w:rFonts w:ascii="Arial" w:hAnsi="Arial" w:cs="Arial"/>
          <w:sz w:val="24"/>
          <w:szCs w:val="24"/>
        </w:rPr>
      </w:pPr>
      <w:r w:rsidRPr="00BE538F">
        <w:rPr>
          <w:rFonts w:ascii="Arial" w:hAnsi="Arial" w:cs="Arial"/>
          <w:sz w:val="24"/>
          <w:szCs w:val="24"/>
        </w:rPr>
        <w:t>Biodiversity and bird impact</w:t>
      </w:r>
      <w:r w:rsidR="00EB16C8" w:rsidRPr="00BE538F">
        <w:rPr>
          <w:rFonts w:ascii="Arial" w:hAnsi="Arial" w:cs="Arial"/>
          <w:sz w:val="24"/>
          <w:szCs w:val="24"/>
        </w:rPr>
        <w:t>;</w:t>
      </w:r>
    </w:p>
    <w:p w14:paraId="33DE5C07" w14:textId="5E57B9F4" w:rsidR="00EB3550" w:rsidRPr="00BE538F" w:rsidRDefault="00EB3550" w:rsidP="00BE538F">
      <w:pPr>
        <w:pStyle w:val="ListParagraph"/>
        <w:numPr>
          <w:ilvl w:val="1"/>
          <w:numId w:val="16"/>
        </w:numPr>
        <w:spacing w:after="200" w:line="360" w:lineRule="auto"/>
        <w:rPr>
          <w:rFonts w:ascii="Arial" w:hAnsi="Arial" w:cs="Arial"/>
          <w:sz w:val="24"/>
          <w:szCs w:val="24"/>
        </w:rPr>
      </w:pPr>
      <w:r w:rsidRPr="00BE538F">
        <w:rPr>
          <w:rFonts w:ascii="Arial" w:hAnsi="Arial" w:cs="Arial"/>
          <w:sz w:val="24"/>
          <w:szCs w:val="24"/>
        </w:rPr>
        <w:lastRenderedPageBreak/>
        <w:t>Trees, woods and forests</w:t>
      </w:r>
      <w:r w:rsidR="00EB16C8" w:rsidRPr="00BE538F">
        <w:rPr>
          <w:rFonts w:ascii="Arial" w:hAnsi="Arial" w:cs="Arial"/>
          <w:sz w:val="24"/>
          <w:szCs w:val="24"/>
        </w:rPr>
        <w:t>;</w:t>
      </w:r>
    </w:p>
    <w:p w14:paraId="747D3A7A" w14:textId="077D718D" w:rsidR="00EB3550" w:rsidRPr="00BE538F" w:rsidRDefault="00EB3550" w:rsidP="00BE538F">
      <w:pPr>
        <w:pStyle w:val="ListParagraph"/>
        <w:numPr>
          <w:ilvl w:val="1"/>
          <w:numId w:val="16"/>
        </w:numPr>
        <w:spacing w:after="200" w:line="360" w:lineRule="auto"/>
        <w:rPr>
          <w:rFonts w:ascii="Arial" w:hAnsi="Arial" w:cs="Arial"/>
          <w:sz w:val="24"/>
          <w:szCs w:val="24"/>
        </w:rPr>
      </w:pPr>
      <w:r w:rsidRPr="00BE538F">
        <w:rPr>
          <w:rFonts w:ascii="Arial" w:hAnsi="Arial" w:cs="Arial"/>
          <w:sz w:val="24"/>
          <w:szCs w:val="24"/>
        </w:rPr>
        <w:t>Decommissioning (including ancillary infrastructure) and site restoration</w:t>
      </w:r>
      <w:r w:rsidR="00EB16C8" w:rsidRPr="00BE538F">
        <w:rPr>
          <w:rFonts w:ascii="Arial" w:hAnsi="Arial" w:cs="Arial"/>
          <w:sz w:val="24"/>
          <w:szCs w:val="24"/>
        </w:rPr>
        <w:t>; and</w:t>
      </w:r>
    </w:p>
    <w:p w14:paraId="03395488" w14:textId="2E89A4EC" w:rsidR="00EB3550" w:rsidRPr="00BE538F" w:rsidRDefault="00EB3550" w:rsidP="00BE538F">
      <w:pPr>
        <w:pStyle w:val="ListParagraph"/>
        <w:numPr>
          <w:ilvl w:val="1"/>
          <w:numId w:val="16"/>
        </w:numPr>
        <w:spacing w:after="200" w:line="360" w:lineRule="auto"/>
        <w:rPr>
          <w:rFonts w:ascii="Arial" w:hAnsi="Arial" w:cs="Arial"/>
          <w:sz w:val="24"/>
          <w:szCs w:val="24"/>
        </w:rPr>
      </w:pPr>
      <w:r w:rsidRPr="00BE538F">
        <w:rPr>
          <w:rFonts w:ascii="Arial" w:hAnsi="Arial" w:cs="Arial"/>
          <w:sz w:val="24"/>
          <w:szCs w:val="24"/>
        </w:rPr>
        <w:t>Cumulative impacts</w:t>
      </w:r>
      <w:r w:rsidR="00EB16C8" w:rsidRPr="00BE538F">
        <w:rPr>
          <w:rFonts w:ascii="Arial" w:hAnsi="Arial" w:cs="Arial"/>
          <w:sz w:val="24"/>
          <w:szCs w:val="24"/>
        </w:rPr>
        <w:t>.</w:t>
      </w:r>
    </w:p>
    <w:p w14:paraId="496CA2C6" w14:textId="736A78E3" w:rsidR="00EB3550" w:rsidRPr="00BE538F" w:rsidRDefault="00EB3550" w:rsidP="00BE538F">
      <w:pPr>
        <w:pStyle w:val="ListParagraph"/>
        <w:numPr>
          <w:ilvl w:val="0"/>
          <w:numId w:val="16"/>
        </w:numPr>
        <w:spacing w:after="200" w:line="360" w:lineRule="auto"/>
        <w:rPr>
          <w:rFonts w:ascii="Arial" w:hAnsi="Arial" w:cs="Arial"/>
          <w:sz w:val="24"/>
          <w:szCs w:val="24"/>
        </w:rPr>
      </w:pPr>
      <w:r w:rsidRPr="00BE538F">
        <w:rPr>
          <w:rFonts w:ascii="Arial" w:hAnsi="Arial" w:cs="Arial"/>
          <w:sz w:val="24"/>
          <w:szCs w:val="24"/>
        </w:rPr>
        <w:t>Use of prime agricultural land must be minimised and have a plan for restoration</w:t>
      </w:r>
      <w:r w:rsidR="00EB16C8" w:rsidRPr="00BE538F">
        <w:rPr>
          <w:rFonts w:ascii="Arial" w:hAnsi="Arial" w:cs="Arial"/>
          <w:sz w:val="24"/>
          <w:szCs w:val="24"/>
        </w:rPr>
        <w:t>; and</w:t>
      </w:r>
    </w:p>
    <w:p w14:paraId="67AD56B4" w14:textId="7472D424" w:rsidR="00EB3550" w:rsidRPr="00BE538F" w:rsidRDefault="00EB3550" w:rsidP="00BE538F">
      <w:pPr>
        <w:pStyle w:val="ListParagraph"/>
        <w:numPr>
          <w:ilvl w:val="0"/>
          <w:numId w:val="17"/>
        </w:numPr>
        <w:spacing w:after="200" w:line="360" w:lineRule="auto"/>
        <w:rPr>
          <w:rFonts w:ascii="Arial" w:hAnsi="Arial" w:cs="Arial"/>
          <w:sz w:val="24"/>
          <w:szCs w:val="24"/>
        </w:rPr>
      </w:pPr>
      <w:r w:rsidRPr="00BE538F">
        <w:rPr>
          <w:rFonts w:ascii="Arial" w:hAnsi="Arial" w:cs="Arial"/>
          <w:sz w:val="24"/>
          <w:szCs w:val="24"/>
        </w:rPr>
        <w:t>Development on peatland or carbon rich soils requires a detailed site assessment on soil and climate impacts</w:t>
      </w:r>
      <w:r w:rsidR="006F0E95" w:rsidRPr="00BE538F">
        <w:rPr>
          <w:rFonts w:ascii="Arial" w:hAnsi="Arial" w:cs="Arial"/>
          <w:sz w:val="24"/>
          <w:szCs w:val="24"/>
        </w:rPr>
        <w:t xml:space="preserve"> </w:t>
      </w:r>
      <w:hyperlink r:id="rId25" w:history="1">
        <w:r w:rsidR="006F0E95" w:rsidRPr="00BE538F">
          <w:rPr>
            <w:rStyle w:val="Hyperlink"/>
            <w:rFonts w:ascii="Arial" w:hAnsi="Arial" w:cs="Arial"/>
            <w:sz w:val="24"/>
            <w:szCs w:val="24"/>
          </w:rPr>
          <w:t>(</w:t>
        </w:r>
        <w:r w:rsidR="00E7107D" w:rsidRPr="00BE538F">
          <w:rPr>
            <w:rStyle w:val="Hyperlink"/>
            <w:rFonts w:ascii="Arial" w:hAnsi="Arial" w:cs="Arial"/>
            <w:sz w:val="24"/>
            <w:szCs w:val="24"/>
          </w:rPr>
          <w:t>Scottish</w:t>
        </w:r>
        <w:r w:rsidR="006F0E95" w:rsidRPr="00BE538F">
          <w:rPr>
            <w:rStyle w:val="Hyperlink"/>
            <w:rFonts w:ascii="Arial" w:hAnsi="Arial" w:cs="Arial"/>
            <w:sz w:val="24"/>
            <w:szCs w:val="24"/>
          </w:rPr>
          <w:t xml:space="preserve"> Government, 2024)</w:t>
        </w:r>
      </w:hyperlink>
      <w:r w:rsidRPr="00BE538F">
        <w:rPr>
          <w:rFonts w:ascii="Arial" w:hAnsi="Arial" w:cs="Arial"/>
          <w:sz w:val="24"/>
          <w:szCs w:val="24"/>
        </w:rPr>
        <w:t>.</w:t>
      </w:r>
    </w:p>
    <w:p w14:paraId="7FE420E3" w14:textId="5B3ECFFC"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Alongside NPF4, there are also guidance documents for projects requiring consent under sections 36 and 37 of the Electricity Act 1989</w:t>
      </w:r>
      <w:r w:rsidR="00E7107D" w:rsidRPr="00BE538F">
        <w:rPr>
          <w:rFonts w:ascii="Arial" w:hAnsi="Arial" w:cs="Arial"/>
          <w:sz w:val="24"/>
          <w:szCs w:val="24"/>
        </w:rPr>
        <w:t xml:space="preserve"> </w:t>
      </w:r>
      <w:hyperlink r:id="rId26" w:history="1">
        <w:r w:rsidR="00E7107D" w:rsidRPr="00BE538F">
          <w:rPr>
            <w:rStyle w:val="Hyperlink"/>
            <w:rFonts w:ascii="Arial" w:hAnsi="Arial" w:cs="Arial"/>
            <w:sz w:val="24"/>
            <w:szCs w:val="24"/>
          </w:rPr>
          <w:t>(Scottish Government, 2022)</w:t>
        </w:r>
      </w:hyperlink>
      <w:r w:rsidRPr="00BE538F">
        <w:rPr>
          <w:rFonts w:ascii="Arial" w:hAnsi="Arial" w:cs="Arial"/>
          <w:sz w:val="24"/>
          <w:szCs w:val="24"/>
        </w:rPr>
        <w:t xml:space="preserve">. </w:t>
      </w:r>
      <w:r w:rsidR="00F80C65" w:rsidRPr="00BE538F">
        <w:rPr>
          <w:rFonts w:ascii="Arial" w:hAnsi="Arial" w:cs="Arial"/>
          <w:sz w:val="24"/>
          <w:szCs w:val="24"/>
        </w:rPr>
        <w:t xml:space="preserve">As of March 2025, the </w:t>
      </w:r>
      <w:r w:rsidRPr="00BE538F">
        <w:rPr>
          <w:rFonts w:ascii="Arial" w:hAnsi="Arial" w:cs="Arial"/>
          <w:sz w:val="24"/>
          <w:szCs w:val="24"/>
        </w:rPr>
        <w:t>process for approval under this act is currently under consultation, mainly focusing on requirements to undertake pre-application consultations</w:t>
      </w:r>
      <w:r w:rsidR="00F80C65" w:rsidRPr="00BE538F">
        <w:rPr>
          <w:rFonts w:ascii="Arial" w:hAnsi="Arial" w:cs="Arial"/>
          <w:sz w:val="24"/>
          <w:szCs w:val="24"/>
        </w:rPr>
        <w:t xml:space="preserve"> </w:t>
      </w:r>
      <w:hyperlink r:id="rId27" w:history="1">
        <w:r w:rsidR="00F80C65" w:rsidRPr="00BE538F">
          <w:rPr>
            <w:rStyle w:val="Hyperlink"/>
            <w:rFonts w:ascii="Arial" w:hAnsi="Arial" w:cs="Arial"/>
            <w:sz w:val="24"/>
            <w:szCs w:val="24"/>
          </w:rPr>
          <w:t>(DESNZ, 2024)</w:t>
        </w:r>
      </w:hyperlink>
      <w:r w:rsidRPr="00BE538F">
        <w:rPr>
          <w:rFonts w:ascii="Arial" w:hAnsi="Arial" w:cs="Arial"/>
          <w:sz w:val="24"/>
          <w:szCs w:val="24"/>
        </w:rPr>
        <w:t>.</w:t>
      </w:r>
    </w:p>
    <w:p w14:paraId="6DCE9B13" w14:textId="77777777" w:rsidR="00EB3550" w:rsidRPr="00BE538F" w:rsidRDefault="00EB3550" w:rsidP="00BE538F">
      <w:pPr>
        <w:spacing w:line="360" w:lineRule="auto"/>
        <w:rPr>
          <w:rFonts w:ascii="Arial" w:hAnsi="Arial" w:cs="Arial"/>
        </w:rPr>
      </w:pPr>
      <w:r w:rsidRPr="00BE538F">
        <w:rPr>
          <w:rFonts w:ascii="Arial" w:hAnsi="Arial" w:cs="Arial"/>
          <w:sz w:val="24"/>
          <w:szCs w:val="24"/>
        </w:rPr>
        <w:t>Although England’s NPS EN-1 doesn’t officially apply in Scotland, it states that its advice may be used by Scottish Ministers.</w:t>
      </w:r>
    </w:p>
    <w:p w14:paraId="2A20166C" w14:textId="77777777" w:rsidR="00EB3550" w:rsidRPr="00BE538F" w:rsidRDefault="00EB3550" w:rsidP="00527B0F">
      <w:pPr>
        <w:pStyle w:val="Heading2"/>
        <w:rPr>
          <w:rFonts w:ascii="Arial" w:hAnsi="Arial" w:cs="Arial"/>
        </w:rPr>
      </w:pPr>
      <w:bookmarkStart w:id="20" w:name="_Toc188013948"/>
      <w:bookmarkStart w:id="21" w:name="_Toc198879953"/>
      <w:r w:rsidRPr="00BE538F">
        <w:rPr>
          <w:rFonts w:ascii="Arial" w:hAnsi="Arial" w:cs="Arial"/>
        </w:rPr>
        <w:t>2.4 Northern Ireland</w:t>
      </w:r>
      <w:bookmarkEnd w:id="20"/>
      <w:bookmarkEnd w:id="21"/>
    </w:p>
    <w:p w14:paraId="2C090414" w14:textId="5FAC735C"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In Northern Ireland, projects are dealt with differently depending on their capacity. The project thresholds are set by the ‘Planning (Development Management) Regulations (Northern Ireland) 2015’:</w:t>
      </w:r>
    </w:p>
    <w:p w14:paraId="70EE3ABF" w14:textId="07DC556D" w:rsidR="00EB3550" w:rsidRPr="00BE538F" w:rsidRDefault="00EB3550" w:rsidP="00BE538F">
      <w:pPr>
        <w:pStyle w:val="ListParagraph"/>
        <w:numPr>
          <w:ilvl w:val="0"/>
          <w:numId w:val="17"/>
        </w:numPr>
        <w:spacing w:after="200" w:line="360" w:lineRule="auto"/>
        <w:rPr>
          <w:rFonts w:ascii="Arial" w:hAnsi="Arial" w:cs="Arial"/>
          <w:sz w:val="24"/>
          <w:szCs w:val="24"/>
        </w:rPr>
      </w:pPr>
      <w:r w:rsidRPr="00BE538F">
        <w:rPr>
          <w:rFonts w:ascii="Arial" w:hAnsi="Arial" w:cs="Arial"/>
          <w:sz w:val="24"/>
          <w:szCs w:val="24"/>
        </w:rPr>
        <w:t>Projects under 5 MW are handled by the LPA</w:t>
      </w:r>
      <w:r w:rsidR="00975F61" w:rsidRPr="00BE538F">
        <w:rPr>
          <w:rFonts w:ascii="Arial" w:hAnsi="Arial" w:cs="Arial"/>
          <w:sz w:val="24"/>
          <w:szCs w:val="24"/>
        </w:rPr>
        <w:t>.</w:t>
      </w:r>
    </w:p>
    <w:p w14:paraId="7E509629" w14:textId="3D908684" w:rsidR="00EB3550" w:rsidRPr="00BE538F" w:rsidRDefault="00EB3550" w:rsidP="00BE538F">
      <w:pPr>
        <w:pStyle w:val="ListParagraph"/>
        <w:numPr>
          <w:ilvl w:val="0"/>
          <w:numId w:val="17"/>
        </w:numPr>
        <w:spacing w:after="200" w:line="360" w:lineRule="auto"/>
        <w:rPr>
          <w:rFonts w:ascii="Arial" w:hAnsi="Arial" w:cs="Arial"/>
          <w:sz w:val="24"/>
          <w:szCs w:val="24"/>
        </w:rPr>
      </w:pPr>
      <w:r w:rsidRPr="00BE538F">
        <w:rPr>
          <w:rFonts w:ascii="Arial" w:hAnsi="Arial" w:cs="Arial"/>
          <w:sz w:val="24"/>
          <w:szCs w:val="24"/>
        </w:rPr>
        <w:t>Electricity generation projects that are 5 MW or more, and all onshore development associated with the construction of an offshore electricity generating station, are classified as major developments, which means they must give 12 weeks’ notice to the LPA in line with section 27 of the Planning Act (Northern Ireland). These applications can be determined by either the LPA or the Northern Ireland Department for Infrastructure (</w:t>
      </w:r>
      <w:proofErr w:type="spellStart"/>
      <w:r w:rsidRPr="00BE538F">
        <w:rPr>
          <w:rFonts w:ascii="Arial" w:hAnsi="Arial" w:cs="Arial"/>
          <w:sz w:val="24"/>
          <w:szCs w:val="24"/>
        </w:rPr>
        <w:t>DfI</w:t>
      </w:r>
      <w:proofErr w:type="spellEnd"/>
      <w:r w:rsidRPr="00BE538F">
        <w:rPr>
          <w:rFonts w:ascii="Arial" w:hAnsi="Arial" w:cs="Arial"/>
          <w:sz w:val="24"/>
          <w:szCs w:val="24"/>
        </w:rPr>
        <w:t>), depending on the project's specifics and significance.</w:t>
      </w:r>
    </w:p>
    <w:p w14:paraId="749DAEEF" w14:textId="4C0FCA34" w:rsidR="00EB3550" w:rsidRPr="00BE538F" w:rsidRDefault="00EB3550" w:rsidP="00BE538F">
      <w:pPr>
        <w:pStyle w:val="ListParagraph"/>
        <w:numPr>
          <w:ilvl w:val="0"/>
          <w:numId w:val="17"/>
        </w:numPr>
        <w:spacing w:after="200" w:line="360" w:lineRule="auto"/>
        <w:rPr>
          <w:rFonts w:ascii="Arial" w:hAnsi="Arial" w:cs="Arial"/>
          <w:sz w:val="24"/>
          <w:szCs w:val="24"/>
        </w:rPr>
      </w:pPr>
      <w:r w:rsidRPr="00BE538F">
        <w:rPr>
          <w:rFonts w:ascii="Arial" w:hAnsi="Arial" w:cs="Arial"/>
          <w:sz w:val="24"/>
          <w:szCs w:val="24"/>
        </w:rPr>
        <w:t xml:space="preserve">Projects of 30 MW or over are prescribed as ‘major developments prescribed for the purpose of section 26(1) of the Planning Act (Northern Ireland) 2011’ and must obtain consent from the </w:t>
      </w:r>
      <w:proofErr w:type="spellStart"/>
      <w:r w:rsidRPr="00BE538F">
        <w:rPr>
          <w:rFonts w:ascii="Arial" w:hAnsi="Arial" w:cs="Arial"/>
          <w:sz w:val="24"/>
          <w:szCs w:val="24"/>
        </w:rPr>
        <w:t>DfI</w:t>
      </w:r>
      <w:proofErr w:type="spellEnd"/>
      <w:r w:rsidRPr="00BE538F">
        <w:rPr>
          <w:rFonts w:ascii="Arial" w:hAnsi="Arial" w:cs="Arial"/>
          <w:sz w:val="24"/>
          <w:szCs w:val="24"/>
        </w:rPr>
        <w:t xml:space="preserve"> under section 39 of the Electricity (Northern Ireland) Order 1992.</w:t>
      </w:r>
    </w:p>
    <w:p w14:paraId="07B70440" w14:textId="105AAE4F" w:rsidR="00A86E79" w:rsidRPr="00BE538F" w:rsidRDefault="00EB3550" w:rsidP="00BE538F">
      <w:pPr>
        <w:spacing w:line="360" w:lineRule="auto"/>
        <w:rPr>
          <w:rFonts w:ascii="Arial" w:hAnsi="Arial" w:cs="Arial"/>
          <w:sz w:val="24"/>
          <w:szCs w:val="24"/>
        </w:rPr>
      </w:pPr>
      <w:r w:rsidRPr="00BE538F">
        <w:rPr>
          <w:rFonts w:ascii="Arial" w:hAnsi="Arial" w:cs="Arial"/>
          <w:sz w:val="24"/>
          <w:szCs w:val="24"/>
        </w:rPr>
        <w:lastRenderedPageBreak/>
        <w:t>LPAs in Northern Ireland are guided by the National Planning Policy Statement (NPP</w:t>
      </w:r>
      <w:r w:rsidR="00F511B1" w:rsidRPr="00BE538F">
        <w:rPr>
          <w:rFonts w:ascii="Arial" w:hAnsi="Arial" w:cs="Arial"/>
          <w:sz w:val="24"/>
          <w:szCs w:val="24"/>
        </w:rPr>
        <w:t>Ss</w:t>
      </w:r>
      <w:r w:rsidRPr="00BE538F">
        <w:rPr>
          <w:rFonts w:ascii="Arial" w:hAnsi="Arial" w:cs="Arial"/>
          <w:sz w:val="24"/>
          <w:szCs w:val="24"/>
        </w:rPr>
        <w:t>), along with Planning Policy Statement 18 (PPS18</w:t>
      </w:r>
      <w:bookmarkStart w:id="22" w:name="_Ref180484484"/>
      <w:r w:rsidRPr="00BE538F">
        <w:rPr>
          <w:rFonts w:ascii="Arial" w:hAnsi="Arial" w:cs="Arial"/>
          <w:sz w:val="24"/>
          <w:szCs w:val="24"/>
        </w:rPr>
        <w:t>)</w:t>
      </w:r>
      <w:bookmarkStart w:id="23" w:name="_Ref180746470"/>
      <w:r w:rsidRPr="00BE538F">
        <w:rPr>
          <w:rFonts w:ascii="Arial" w:hAnsi="Arial" w:cs="Arial"/>
          <w:sz w:val="24"/>
          <w:szCs w:val="24"/>
        </w:rPr>
        <w:t>,</w:t>
      </w:r>
      <w:bookmarkEnd w:id="22"/>
      <w:bookmarkEnd w:id="23"/>
      <w:r w:rsidRPr="00BE538F">
        <w:rPr>
          <w:rFonts w:ascii="Arial" w:hAnsi="Arial" w:cs="Arial"/>
          <w:sz w:val="24"/>
          <w:szCs w:val="24"/>
        </w:rPr>
        <w:t xml:space="preserve"> and its best practice guidance</w:t>
      </w:r>
      <w:bookmarkStart w:id="24" w:name="_Ref181026889"/>
      <w:r w:rsidR="00F06EE6" w:rsidRPr="00BE538F">
        <w:rPr>
          <w:rFonts w:ascii="Arial" w:hAnsi="Arial" w:cs="Arial"/>
          <w:sz w:val="24"/>
          <w:szCs w:val="24"/>
        </w:rPr>
        <w:t xml:space="preserve"> </w:t>
      </w:r>
      <w:hyperlink r:id="rId28" w:history="1">
        <w:r w:rsidR="00F06EE6" w:rsidRPr="00BE538F">
          <w:rPr>
            <w:rStyle w:val="Hyperlink"/>
            <w:rFonts w:ascii="Arial" w:hAnsi="Arial" w:cs="Arial"/>
            <w:sz w:val="24"/>
            <w:szCs w:val="24"/>
          </w:rPr>
          <w:t>(Department of the Environment, 2009)</w:t>
        </w:r>
      </w:hyperlink>
      <w:r w:rsidR="00F06EE6" w:rsidRPr="00BE538F">
        <w:rPr>
          <w:rFonts w:ascii="Arial" w:hAnsi="Arial" w:cs="Arial"/>
          <w:sz w:val="24"/>
          <w:szCs w:val="24"/>
        </w:rPr>
        <w:t>.</w:t>
      </w:r>
      <w:bookmarkEnd w:id="24"/>
      <w:r w:rsidRPr="00BE538F">
        <w:rPr>
          <w:rFonts w:ascii="Arial" w:hAnsi="Arial" w:cs="Arial"/>
          <w:sz w:val="24"/>
          <w:szCs w:val="24"/>
        </w:rPr>
        <w:t xml:space="preserve"> The </w:t>
      </w:r>
      <w:proofErr w:type="spellStart"/>
      <w:r w:rsidRPr="00BE538F">
        <w:rPr>
          <w:rFonts w:ascii="Arial" w:hAnsi="Arial" w:cs="Arial"/>
          <w:sz w:val="24"/>
          <w:szCs w:val="24"/>
        </w:rPr>
        <w:t>DfI</w:t>
      </w:r>
      <w:proofErr w:type="spellEnd"/>
      <w:r w:rsidRPr="00BE538F">
        <w:rPr>
          <w:rFonts w:ascii="Arial" w:hAnsi="Arial" w:cs="Arial"/>
          <w:sz w:val="24"/>
          <w:szCs w:val="24"/>
        </w:rPr>
        <w:t xml:space="preserve"> is in the process of producing updated guidance regarding renewable and low-carbon energy</w:t>
      </w:r>
      <w:r w:rsidR="00A86E79" w:rsidRPr="00BE538F">
        <w:rPr>
          <w:rFonts w:ascii="Arial" w:hAnsi="Arial" w:cs="Arial"/>
          <w:sz w:val="24"/>
          <w:szCs w:val="24"/>
        </w:rPr>
        <w:t xml:space="preserve"> (see Revised Regional Strategic Planning Policy – Renewable and Low Carbon Energy</w:t>
      </w:r>
      <w:r w:rsidR="000D0D13" w:rsidRPr="00BE538F">
        <w:rPr>
          <w:rFonts w:ascii="Arial" w:hAnsi="Arial" w:cs="Arial"/>
          <w:sz w:val="24"/>
          <w:szCs w:val="24"/>
        </w:rPr>
        <w:t xml:space="preserve">, </w:t>
      </w:r>
      <w:hyperlink r:id="rId29" w:history="1">
        <w:r w:rsidR="000D0D13" w:rsidRPr="00BE538F">
          <w:rPr>
            <w:rStyle w:val="Hyperlink"/>
            <w:rFonts w:ascii="Arial" w:hAnsi="Arial" w:cs="Arial"/>
            <w:sz w:val="24"/>
            <w:szCs w:val="24"/>
          </w:rPr>
          <w:t>Depart for Infrastructure, 2023</w:t>
        </w:r>
      </w:hyperlink>
      <w:r w:rsidR="000D0D13" w:rsidRPr="00BE538F">
        <w:rPr>
          <w:rFonts w:ascii="Arial" w:hAnsi="Arial" w:cs="Arial"/>
          <w:sz w:val="24"/>
          <w:szCs w:val="24"/>
        </w:rPr>
        <w:t>)</w:t>
      </w:r>
      <w:r w:rsidRPr="00BE538F">
        <w:rPr>
          <w:rFonts w:ascii="Arial" w:hAnsi="Arial" w:cs="Arial"/>
          <w:sz w:val="24"/>
          <w:szCs w:val="24"/>
        </w:rPr>
        <w:t>.</w:t>
      </w:r>
    </w:p>
    <w:p w14:paraId="604CF365" w14:textId="01DDB4DE"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The NPPS and PPS18 provide the following guidance:</w:t>
      </w:r>
    </w:p>
    <w:p w14:paraId="03224B2D" w14:textId="77777777" w:rsidR="00EB3550" w:rsidRPr="00BE538F" w:rsidRDefault="00EB3550" w:rsidP="00BE538F">
      <w:pPr>
        <w:pStyle w:val="ListParagraph"/>
        <w:numPr>
          <w:ilvl w:val="0"/>
          <w:numId w:val="11"/>
        </w:numPr>
        <w:spacing w:after="200" w:line="360" w:lineRule="auto"/>
        <w:rPr>
          <w:rFonts w:ascii="Arial" w:hAnsi="Arial" w:cs="Arial"/>
          <w:sz w:val="24"/>
          <w:szCs w:val="24"/>
        </w:rPr>
      </w:pPr>
      <w:r w:rsidRPr="00BE538F">
        <w:rPr>
          <w:rFonts w:ascii="Arial" w:hAnsi="Arial" w:cs="Arial"/>
          <w:sz w:val="24"/>
          <w:szCs w:val="24"/>
        </w:rPr>
        <w:t>The proposal and associated buildings/infrastructure will not have an unacceptable adverse impact on:</w:t>
      </w:r>
    </w:p>
    <w:p w14:paraId="55AABCE3" w14:textId="2BEDE784" w:rsidR="00EB3550" w:rsidRPr="00BE538F" w:rsidRDefault="00EB3550" w:rsidP="00BE538F">
      <w:pPr>
        <w:pStyle w:val="ListParagraph"/>
        <w:numPr>
          <w:ilvl w:val="1"/>
          <w:numId w:val="11"/>
        </w:numPr>
        <w:spacing w:after="200" w:line="360" w:lineRule="auto"/>
        <w:rPr>
          <w:rFonts w:ascii="Arial" w:hAnsi="Arial" w:cs="Arial"/>
          <w:sz w:val="24"/>
          <w:szCs w:val="24"/>
        </w:rPr>
      </w:pPr>
      <w:r w:rsidRPr="00BE538F">
        <w:rPr>
          <w:rFonts w:ascii="Arial" w:hAnsi="Arial" w:cs="Arial"/>
          <w:sz w:val="24"/>
          <w:szCs w:val="24"/>
        </w:rPr>
        <w:t>Public safety, human health or residential amenity</w:t>
      </w:r>
      <w:r w:rsidR="00060E8B" w:rsidRPr="00BE538F">
        <w:rPr>
          <w:rFonts w:ascii="Arial" w:hAnsi="Arial" w:cs="Arial"/>
          <w:sz w:val="24"/>
          <w:szCs w:val="24"/>
        </w:rPr>
        <w:t>;</w:t>
      </w:r>
    </w:p>
    <w:p w14:paraId="121D2B82" w14:textId="737C4D38" w:rsidR="00EB3550" w:rsidRPr="00BE538F" w:rsidRDefault="00EB3550" w:rsidP="00BE538F">
      <w:pPr>
        <w:pStyle w:val="ListParagraph"/>
        <w:numPr>
          <w:ilvl w:val="1"/>
          <w:numId w:val="11"/>
        </w:numPr>
        <w:spacing w:after="200" w:line="360" w:lineRule="auto"/>
        <w:rPr>
          <w:rFonts w:ascii="Arial" w:hAnsi="Arial" w:cs="Arial"/>
          <w:sz w:val="24"/>
          <w:szCs w:val="24"/>
        </w:rPr>
      </w:pPr>
      <w:r w:rsidRPr="00BE538F">
        <w:rPr>
          <w:rFonts w:ascii="Arial" w:hAnsi="Arial" w:cs="Arial"/>
          <w:sz w:val="24"/>
          <w:szCs w:val="24"/>
        </w:rPr>
        <w:t>Visual amenity and landscape character</w:t>
      </w:r>
      <w:r w:rsidR="00060E8B" w:rsidRPr="00BE538F">
        <w:rPr>
          <w:rFonts w:ascii="Arial" w:hAnsi="Arial" w:cs="Arial"/>
          <w:sz w:val="24"/>
          <w:szCs w:val="24"/>
        </w:rPr>
        <w:t>;</w:t>
      </w:r>
    </w:p>
    <w:p w14:paraId="041AD8F2" w14:textId="439346C3" w:rsidR="00EB3550" w:rsidRPr="00BE538F" w:rsidRDefault="00EB3550" w:rsidP="00BE538F">
      <w:pPr>
        <w:pStyle w:val="ListParagraph"/>
        <w:numPr>
          <w:ilvl w:val="1"/>
          <w:numId w:val="11"/>
        </w:numPr>
        <w:spacing w:after="200" w:line="360" w:lineRule="auto"/>
        <w:rPr>
          <w:rFonts w:ascii="Arial" w:hAnsi="Arial" w:cs="Arial"/>
          <w:sz w:val="24"/>
          <w:szCs w:val="24"/>
        </w:rPr>
      </w:pPr>
      <w:r w:rsidRPr="00BE538F">
        <w:rPr>
          <w:rFonts w:ascii="Arial" w:hAnsi="Arial" w:cs="Arial"/>
          <w:sz w:val="24"/>
          <w:szCs w:val="24"/>
        </w:rPr>
        <w:t>Biodiversity, nature conservation or built heritage interests</w:t>
      </w:r>
      <w:r w:rsidR="00060E8B" w:rsidRPr="00BE538F">
        <w:rPr>
          <w:rFonts w:ascii="Arial" w:hAnsi="Arial" w:cs="Arial"/>
          <w:sz w:val="24"/>
          <w:szCs w:val="24"/>
        </w:rPr>
        <w:t>;</w:t>
      </w:r>
    </w:p>
    <w:p w14:paraId="150170AB" w14:textId="0079F362" w:rsidR="00EB3550" w:rsidRPr="00BE538F" w:rsidRDefault="00EB3550" w:rsidP="00BE538F">
      <w:pPr>
        <w:pStyle w:val="ListParagraph"/>
        <w:numPr>
          <w:ilvl w:val="1"/>
          <w:numId w:val="11"/>
        </w:numPr>
        <w:spacing w:after="200" w:line="360" w:lineRule="auto"/>
        <w:rPr>
          <w:rFonts w:ascii="Arial" w:hAnsi="Arial" w:cs="Arial"/>
          <w:sz w:val="24"/>
          <w:szCs w:val="24"/>
        </w:rPr>
      </w:pPr>
      <w:r w:rsidRPr="00BE538F">
        <w:rPr>
          <w:rFonts w:ascii="Arial" w:hAnsi="Arial" w:cs="Arial"/>
          <w:sz w:val="24"/>
          <w:szCs w:val="24"/>
        </w:rPr>
        <w:t>Local natural resources, such as air quality or water quality</w:t>
      </w:r>
      <w:r w:rsidR="00060E8B" w:rsidRPr="00BE538F">
        <w:rPr>
          <w:rFonts w:ascii="Arial" w:hAnsi="Arial" w:cs="Arial"/>
          <w:sz w:val="24"/>
          <w:szCs w:val="24"/>
        </w:rPr>
        <w:t>; and</w:t>
      </w:r>
    </w:p>
    <w:p w14:paraId="734BFECC" w14:textId="0601D98B" w:rsidR="00EB3550" w:rsidRPr="00BE538F" w:rsidRDefault="00EB3550" w:rsidP="00BE538F">
      <w:pPr>
        <w:pStyle w:val="ListParagraph"/>
        <w:numPr>
          <w:ilvl w:val="1"/>
          <w:numId w:val="11"/>
        </w:numPr>
        <w:spacing w:after="200" w:line="360" w:lineRule="auto"/>
        <w:rPr>
          <w:rFonts w:ascii="Arial" w:hAnsi="Arial" w:cs="Arial"/>
          <w:sz w:val="24"/>
          <w:szCs w:val="24"/>
        </w:rPr>
      </w:pPr>
      <w:r w:rsidRPr="00BE538F">
        <w:rPr>
          <w:rFonts w:ascii="Arial" w:hAnsi="Arial" w:cs="Arial"/>
          <w:sz w:val="24"/>
          <w:szCs w:val="24"/>
        </w:rPr>
        <w:t>Public access to the countryside</w:t>
      </w:r>
      <w:r w:rsidR="00060E8B" w:rsidRPr="00BE538F">
        <w:rPr>
          <w:rFonts w:ascii="Arial" w:hAnsi="Arial" w:cs="Arial"/>
          <w:sz w:val="24"/>
          <w:szCs w:val="24"/>
        </w:rPr>
        <w:t>.</w:t>
      </w:r>
    </w:p>
    <w:p w14:paraId="15B7DC27" w14:textId="07A5D51B" w:rsidR="00EB3550" w:rsidRPr="00BE538F" w:rsidRDefault="00EB3550" w:rsidP="00BE538F">
      <w:pPr>
        <w:pStyle w:val="ListParagraph"/>
        <w:numPr>
          <w:ilvl w:val="0"/>
          <w:numId w:val="11"/>
        </w:numPr>
        <w:spacing w:after="200" w:line="360" w:lineRule="auto"/>
        <w:rPr>
          <w:rFonts w:ascii="Arial" w:hAnsi="Arial" w:cs="Arial"/>
          <w:sz w:val="24"/>
          <w:szCs w:val="24"/>
        </w:rPr>
      </w:pPr>
      <w:r w:rsidRPr="00BE538F">
        <w:rPr>
          <w:rFonts w:ascii="Arial" w:hAnsi="Arial" w:cs="Arial"/>
          <w:sz w:val="24"/>
          <w:szCs w:val="24"/>
        </w:rPr>
        <w:t>Proposals will be located as close as possible to the resource</w:t>
      </w:r>
      <w:r w:rsidR="00060E8B" w:rsidRPr="00BE538F">
        <w:rPr>
          <w:rFonts w:ascii="Arial" w:hAnsi="Arial" w:cs="Arial"/>
          <w:sz w:val="24"/>
          <w:szCs w:val="24"/>
        </w:rPr>
        <w:t>;</w:t>
      </w:r>
    </w:p>
    <w:p w14:paraId="4985885A" w14:textId="7D7F66F6" w:rsidR="00EB3550" w:rsidRPr="00BE538F" w:rsidRDefault="00EB3550" w:rsidP="00BE538F">
      <w:pPr>
        <w:pStyle w:val="ListParagraph"/>
        <w:numPr>
          <w:ilvl w:val="0"/>
          <w:numId w:val="11"/>
        </w:numPr>
        <w:spacing w:after="200" w:line="360" w:lineRule="auto"/>
        <w:rPr>
          <w:rFonts w:ascii="Arial" w:hAnsi="Arial" w:cs="Arial"/>
          <w:sz w:val="24"/>
          <w:szCs w:val="24"/>
        </w:rPr>
      </w:pPr>
      <w:r w:rsidRPr="00BE538F">
        <w:rPr>
          <w:rFonts w:ascii="Arial" w:hAnsi="Arial" w:cs="Arial"/>
          <w:sz w:val="24"/>
          <w:szCs w:val="24"/>
        </w:rPr>
        <w:t>Any instances of unavoidable damage during construction, operation or decommissioning must have a minimisation and mitigation plan</w:t>
      </w:r>
      <w:r w:rsidR="00060E8B" w:rsidRPr="00BE538F">
        <w:rPr>
          <w:rFonts w:ascii="Arial" w:hAnsi="Arial" w:cs="Arial"/>
          <w:sz w:val="24"/>
          <w:szCs w:val="24"/>
        </w:rPr>
        <w:t>;</w:t>
      </w:r>
    </w:p>
    <w:p w14:paraId="22CCC9C7" w14:textId="09CEFD84" w:rsidR="00EB3550" w:rsidRPr="00BE538F" w:rsidRDefault="00EB3550" w:rsidP="00BE538F">
      <w:pPr>
        <w:pStyle w:val="ListParagraph"/>
        <w:numPr>
          <w:ilvl w:val="0"/>
          <w:numId w:val="11"/>
        </w:numPr>
        <w:spacing w:after="200" w:line="360" w:lineRule="auto"/>
        <w:rPr>
          <w:rFonts w:ascii="Arial" w:hAnsi="Arial" w:cs="Arial"/>
          <w:sz w:val="24"/>
          <w:szCs w:val="24"/>
        </w:rPr>
      </w:pPr>
      <w:r w:rsidRPr="00BE538F">
        <w:rPr>
          <w:rFonts w:ascii="Arial" w:hAnsi="Arial" w:cs="Arial"/>
          <w:sz w:val="24"/>
          <w:szCs w:val="24"/>
        </w:rPr>
        <w:t>Adverse effects on natural and built heritage should have mitigation measures</w:t>
      </w:r>
      <w:r w:rsidR="00060E8B" w:rsidRPr="00BE538F">
        <w:rPr>
          <w:rFonts w:ascii="Arial" w:hAnsi="Arial" w:cs="Arial"/>
          <w:sz w:val="24"/>
          <w:szCs w:val="24"/>
        </w:rPr>
        <w:t>;</w:t>
      </w:r>
    </w:p>
    <w:p w14:paraId="25658C0B" w14:textId="39E3957C" w:rsidR="00EB3550" w:rsidRPr="00BE538F" w:rsidRDefault="00EB3550" w:rsidP="00BE538F">
      <w:pPr>
        <w:pStyle w:val="ListParagraph"/>
        <w:numPr>
          <w:ilvl w:val="0"/>
          <w:numId w:val="11"/>
        </w:numPr>
        <w:spacing w:after="200" w:line="360" w:lineRule="auto"/>
        <w:rPr>
          <w:rFonts w:ascii="Arial" w:hAnsi="Arial" w:cs="Arial"/>
          <w:sz w:val="24"/>
          <w:szCs w:val="24"/>
        </w:rPr>
      </w:pPr>
      <w:r w:rsidRPr="00BE538F">
        <w:rPr>
          <w:rFonts w:ascii="Arial" w:hAnsi="Arial" w:cs="Arial"/>
          <w:sz w:val="24"/>
          <w:szCs w:val="24"/>
        </w:rPr>
        <w:t>Developments on peatland should provide detailed reports on existing and potential hazards and mitigation/restoration measures (resultant risk could still cause rejection)</w:t>
      </w:r>
      <w:r w:rsidR="00060E8B" w:rsidRPr="00BE538F">
        <w:rPr>
          <w:rFonts w:ascii="Arial" w:hAnsi="Arial" w:cs="Arial"/>
          <w:sz w:val="24"/>
          <w:szCs w:val="24"/>
        </w:rPr>
        <w:t>; and</w:t>
      </w:r>
    </w:p>
    <w:p w14:paraId="43BA570A" w14:textId="77777777" w:rsidR="00EB3550" w:rsidRPr="00BE538F" w:rsidRDefault="00EB3550" w:rsidP="00BE538F">
      <w:pPr>
        <w:pStyle w:val="ListParagraph"/>
        <w:numPr>
          <w:ilvl w:val="0"/>
          <w:numId w:val="11"/>
        </w:numPr>
        <w:spacing w:after="200" w:line="360" w:lineRule="auto"/>
        <w:rPr>
          <w:rFonts w:ascii="Arial" w:hAnsi="Arial" w:cs="Arial"/>
          <w:sz w:val="24"/>
          <w:szCs w:val="24"/>
        </w:rPr>
      </w:pPr>
      <w:r w:rsidRPr="00BE538F">
        <w:rPr>
          <w:rFonts w:ascii="Arial" w:hAnsi="Arial" w:cs="Arial"/>
          <w:sz w:val="24"/>
          <w:szCs w:val="24"/>
        </w:rPr>
        <w:t>Proposals should each have decommissioning and landscape restoration plans.</w:t>
      </w:r>
    </w:p>
    <w:p w14:paraId="5EA9FAB0" w14:textId="49FF70E4" w:rsidR="00EB3550" w:rsidRPr="00BE538F" w:rsidRDefault="002D3A70" w:rsidP="00BE538F">
      <w:pPr>
        <w:pStyle w:val="Heading1"/>
        <w:spacing w:line="276" w:lineRule="auto"/>
        <w:rPr>
          <w:rFonts w:ascii="Arial" w:hAnsi="Arial" w:cs="Arial"/>
        </w:rPr>
      </w:pPr>
      <w:bookmarkStart w:id="25" w:name="_Toc188013949"/>
      <w:bookmarkStart w:id="26" w:name="_Toc198879954"/>
      <w:r w:rsidRPr="00BE538F">
        <w:rPr>
          <w:rFonts w:ascii="Arial" w:hAnsi="Arial" w:cs="Arial"/>
        </w:rPr>
        <w:t xml:space="preserve">3. </w:t>
      </w:r>
      <w:r w:rsidR="00EB3550" w:rsidRPr="00BE538F">
        <w:rPr>
          <w:rFonts w:ascii="Arial" w:hAnsi="Arial" w:cs="Arial"/>
        </w:rPr>
        <w:t>Onshore wind</w:t>
      </w:r>
      <w:bookmarkEnd w:id="25"/>
      <w:bookmarkEnd w:id="26"/>
    </w:p>
    <w:p w14:paraId="3A032CE5" w14:textId="77777777" w:rsidR="00EB3550" w:rsidRPr="00BE538F" w:rsidRDefault="00EB3550" w:rsidP="00527B0F">
      <w:pPr>
        <w:pStyle w:val="Heading2"/>
        <w:rPr>
          <w:rFonts w:ascii="Arial" w:hAnsi="Arial" w:cs="Arial"/>
        </w:rPr>
      </w:pPr>
      <w:bookmarkStart w:id="27" w:name="_Toc188013950"/>
      <w:bookmarkStart w:id="28" w:name="_Toc198879955"/>
      <w:r w:rsidRPr="00BE538F">
        <w:rPr>
          <w:rFonts w:ascii="Arial" w:hAnsi="Arial" w:cs="Arial"/>
        </w:rPr>
        <w:t>3.1 UK-wide guidance</w:t>
      </w:r>
      <w:bookmarkEnd w:id="27"/>
      <w:bookmarkEnd w:id="28"/>
    </w:p>
    <w:p w14:paraId="26DE29CE"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Across each country there are two universal requirements:</w:t>
      </w:r>
    </w:p>
    <w:p w14:paraId="33F68ACB" w14:textId="751D3895" w:rsidR="00EB3550" w:rsidRPr="00BE538F" w:rsidRDefault="00EB3550" w:rsidP="00BE538F">
      <w:pPr>
        <w:pStyle w:val="ListParagraph"/>
        <w:numPr>
          <w:ilvl w:val="0"/>
          <w:numId w:val="38"/>
        </w:numPr>
        <w:spacing w:after="200" w:line="360" w:lineRule="auto"/>
        <w:rPr>
          <w:rFonts w:ascii="Arial" w:hAnsi="Arial" w:cs="Arial"/>
          <w:sz w:val="24"/>
          <w:szCs w:val="24"/>
        </w:rPr>
      </w:pPr>
      <w:r w:rsidRPr="00BE538F">
        <w:rPr>
          <w:rFonts w:ascii="Arial" w:hAnsi="Arial" w:cs="Arial"/>
          <w:b/>
          <w:bCs/>
          <w:sz w:val="24"/>
          <w:szCs w:val="24"/>
        </w:rPr>
        <w:t xml:space="preserve">Consulting the Ministry of Defence (MOD): </w:t>
      </w:r>
      <w:r w:rsidRPr="00BE538F">
        <w:rPr>
          <w:rFonts w:ascii="Arial" w:hAnsi="Arial" w:cs="Arial"/>
          <w:sz w:val="24"/>
          <w:szCs w:val="24"/>
        </w:rPr>
        <w:t>Developers must consult the MOD if the rotor diameter of any turbine is greater than 2m or has a distance to the blade tip of greater than 11m</w:t>
      </w:r>
      <w:r w:rsidR="000D0D13" w:rsidRPr="00BE538F">
        <w:rPr>
          <w:rFonts w:ascii="Arial" w:hAnsi="Arial" w:cs="Arial"/>
          <w:sz w:val="24"/>
          <w:szCs w:val="24"/>
        </w:rPr>
        <w:t xml:space="preserve"> </w:t>
      </w:r>
      <w:hyperlink r:id="rId30" w:history="1">
        <w:r w:rsidR="000D0D13" w:rsidRPr="00BE538F">
          <w:rPr>
            <w:rStyle w:val="Hyperlink"/>
            <w:rFonts w:ascii="Arial" w:hAnsi="Arial" w:cs="Arial"/>
            <w:sz w:val="24"/>
            <w:szCs w:val="24"/>
          </w:rPr>
          <w:t>(</w:t>
        </w:r>
        <w:r w:rsidR="00EB3C28" w:rsidRPr="00BE538F">
          <w:rPr>
            <w:rStyle w:val="Hyperlink"/>
            <w:rFonts w:ascii="Arial" w:hAnsi="Arial" w:cs="Arial"/>
            <w:sz w:val="24"/>
            <w:szCs w:val="24"/>
          </w:rPr>
          <w:t>Ministry of Defence, 2021)</w:t>
        </w:r>
      </w:hyperlink>
      <w:r w:rsidRPr="00BE538F">
        <w:rPr>
          <w:rFonts w:ascii="Arial" w:hAnsi="Arial" w:cs="Arial"/>
          <w:sz w:val="24"/>
          <w:szCs w:val="24"/>
        </w:rPr>
        <w:t>.</w:t>
      </w:r>
    </w:p>
    <w:p w14:paraId="1437681D" w14:textId="1BCE7E39" w:rsidR="00EB3550" w:rsidRPr="00BE538F" w:rsidRDefault="00EB3550" w:rsidP="00BE538F">
      <w:pPr>
        <w:pStyle w:val="ListParagraph"/>
        <w:numPr>
          <w:ilvl w:val="0"/>
          <w:numId w:val="38"/>
        </w:numPr>
        <w:spacing w:after="200" w:line="360" w:lineRule="auto"/>
        <w:rPr>
          <w:rFonts w:ascii="Arial" w:hAnsi="Arial" w:cs="Arial"/>
          <w:sz w:val="24"/>
          <w:szCs w:val="24"/>
        </w:rPr>
      </w:pPr>
      <w:r w:rsidRPr="00BE538F">
        <w:rPr>
          <w:rFonts w:ascii="Arial" w:hAnsi="Arial" w:cs="Arial"/>
          <w:b/>
          <w:bCs/>
          <w:sz w:val="24"/>
          <w:szCs w:val="24"/>
        </w:rPr>
        <w:lastRenderedPageBreak/>
        <w:t xml:space="preserve">Noise: </w:t>
      </w:r>
      <w:r w:rsidRPr="00BE538F">
        <w:rPr>
          <w:rFonts w:ascii="Arial" w:hAnsi="Arial" w:cs="Arial"/>
          <w:sz w:val="24"/>
          <w:szCs w:val="24"/>
        </w:rPr>
        <w:t>Developers must follow the good practice guidance on noise provided by the Institute of Acoustics (</w:t>
      </w:r>
      <w:proofErr w:type="spellStart"/>
      <w:r w:rsidRPr="00BE538F">
        <w:rPr>
          <w:rFonts w:ascii="Arial" w:hAnsi="Arial" w:cs="Arial"/>
          <w:sz w:val="24"/>
          <w:szCs w:val="24"/>
        </w:rPr>
        <w:t>IoA</w:t>
      </w:r>
      <w:proofErr w:type="spellEnd"/>
      <w:r w:rsidRPr="00BE538F">
        <w:rPr>
          <w:rFonts w:ascii="Arial" w:hAnsi="Arial" w:cs="Arial"/>
          <w:sz w:val="24"/>
          <w:szCs w:val="24"/>
        </w:rPr>
        <w:t>)</w:t>
      </w:r>
      <w:r w:rsidR="00EB3C28" w:rsidRPr="00BE538F">
        <w:rPr>
          <w:rFonts w:ascii="Arial" w:hAnsi="Arial" w:cs="Arial"/>
          <w:sz w:val="24"/>
          <w:szCs w:val="24"/>
        </w:rPr>
        <w:t xml:space="preserve"> </w:t>
      </w:r>
      <w:hyperlink r:id="rId31" w:history="1">
        <w:r w:rsidR="00EB3C28" w:rsidRPr="00BE538F">
          <w:rPr>
            <w:rStyle w:val="Hyperlink"/>
            <w:rFonts w:ascii="Arial" w:hAnsi="Arial" w:cs="Arial"/>
            <w:sz w:val="24"/>
            <w:szCs w:val="24"/>
          </w:rPr>
          <w:t>(</w:t>
        </w:r>
        <w:proofErr w:type="spellStart"/>
        <w:r w:rsidR="00EB3C28" w:rsidRPr="00BE538F">
          <w:rPr>
            <w:rStyle w:val="Hyperlink"/>
            <w:rFonts w:ascii="Arial" w:hAnsi="Arial" w:cs="Arial"/>
            <w:sz w:val="24"/>
            <w:szCs w:val="24"/>
          </w:rPr>
          <w:t>IoA</w:t>
        </w:r>
        <w:proofErr w:type="spellEnd"/>
        <w:r w:rsidR="00EB3C28" w:rsidRPr="00BE538F">
          <w:rPr>
            <w:rStyle w:val="Hyperlink"/>
            <w:rFonts w:ascii="Arial" w:hAnsi="Arial" w:cs="Arial"/>
            <w:sz w:val="24"/>
            <w:szCs w:val="24"/>
          </w:rPr>
          <w:t xml:space="preserve">, </w:t>
        </w:r>
        <w:r w:rsidR="007A1D55" w:rsidRPr="00BE538F">
          <w:rPr>
            <w:rStyle w:val="Hyperlink"/>
            <w:rFonts w:ascii="Arial" w:hAnsi="Arial" w:cs="Arial"/>
            <w:sz w:val="24"/>
            <w:szCs w:val="24"/>
          </w:rPr>
          <w:t>2013)</w:t>
        </w:r>
      </w:hyperlink>
      <w:r w:rsidRPr="00BE538F">
        <w:rPr>
          <w:rFonts w:ascii="Arial" w:hAnsi="Arial" w:cs="Arial"/>
          <w:sz w:val="24"/>
          <w:szCs w:val="24"/>
        </w:rPr>
        <w:t xml:space="preserve">. The simple assessment requires that the turbine noise not exceed 35dB, or a developer may undertake a background noise survey and prove that the noise of the turbine will not exceed this by more than 5dB. This is usually conditional to a 10m/s wind speed, though a developer may use the wind speed at the maximum sound power level of the turbine. </w:t>
      </w:r>
    </w:p>
    <w:p w14:paraId="2CA1D643" w14:textId="77777777" w:rsidR="00EB3550" w:rsidRPr="00BE538F" w:rsidRDefault="00EB3550" w:rsidP="00527B0F">
      <w:pPr>
        <w:pStyle w:val="Heading2"/>
        <w:rPr>
          <w:rFonts w:ascii="Arial" w:hAnsi="Arial" w:cs="Arial"/>
        </w:rPr>
      </w:pPr>
      <w:bookmarkStart w:id="29" w:name="_Toc188013951"/>
      <w:bookmarkStart w:id="30" w:name="_Toc198879956"/>
      <w:r w:rsidRPr="00BE538F">
        <w:rPr>
          <w:rFonts w:ascii="Arial" w:hAnsi="Arial" w:cs="Arial"/>
        </w:rPr>
        <w:t>3.2 England</w:t>
      </w:r>
      <w:bookmarkEnd w:id="29"/>
      <w:bookmarkEnd w:id="30"/>
    </w:p>
    <w:p w14:paraId="57A584E1"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In December 2024, the UK government published an updated NPPF confirming that the threshold upon which onshore wind projects are considered NSIPs will move to 100 MW for both technologies (with a transitional period until the end of 2025 as this policy change comes into effect). This means that planning permission for any project under 100 MW will be decided by the relevant LPA.</w:t>
      </w:r>
    </w:p>
    <w:p w14:paraId="03E7A2F4"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A ministerial statement published in July 2024 removed footnotes 57 and 58 from paragraph 163 of the adopted NPPF, removing the previous constraints for onshore wind applications related to allocating areas and demonstrating community support.</w:t>
      </w:r>
      <w:r w:rsidRPr="00BE538F">
        <w:rPr>
          <w:rFonts w:ascii="Arial" w:hAnsi="Arial" w:cs="Arial"/>
          <w:sz w:val="24"/>
          <w:szCs w:val="24"/>
        </w:rPr>
        <w:fldChar w:fldCharType="begin"/>
      </w:r>
      <w:r w:rsidRPr="00BE538F">
        <w:rPr>
          <w:rFonts w:ascii="Arial" w:hAnsi="Arial" w:cs="Arial"/>
          <w:sz w:val="24"/>
          <w:szCs w:val="24"/>
        </w:rPr>
        <w:instrText xml:space="preserve"> NOTEREF _Ref180747803 \f \h  \* MERGEFORMAT </w:instrText>
      </w:r>
      <w:r w:rsidRPr="00BB2A34">
        <w:rPr>
          <w:rFonts w:ascii="Arial" w:hAnsi="Arial" w:cs="Arial"/>
          <w:sz w:val="24"/>
          <w:szCs w:val="24"/>
        </w:rPr>
      </w:r>
      <w:r w:rsidRPr="00BE538F">
        <w:rPr>
          <w:rFonts w:ascii="Arial" w:hAnsi="Arial" w:cs="Arial"/>
          <w:sz w:val="24"/>
          <w:szCs w:val="24"/>
        </w:rPr>
        <w:fldChar w:fldCharType="separate"/>
      </w:r>
      <w:r w:rsidRPr="00BE538F">
        <w:rPr>
          <w:rStyle w:val="FootnoteReference"/>
          <w:rFonts w:ascii="Arial" w:hAnsi="Arial" w:cs="Arial"/>
          <w:sz w:val="24"/>
          <w:szCs w:val="24"/>
        </w:rPr>
        <w:t>3</w:t>
      </w:r>
      <w:r w:rsidRPr="00BE538F">
        <w:rPr>
          <w:rFonts w:ascii="Arial" w:hAnsi="Arial" w:cs="Arial"/>
          <w:sz w:val="24"/>
          <w:szCs w:val="24"/>
        </w:rPr>
        <w:fldChar w:fldCharType="end"/>
      </w:r>
      <w:r w:rsidRPr="00BE538F">
        <w:rPr>
          <w:rFonts w:ascii="Arial" w:hAnsi="Arial" w:cs="Arial"/>
          <w:sz w:val="24"/>
          <w:szCs w:val="24"/>
        </w:rPr>
        <w:t xml:space="preserve"> This change was also reflected in the updated NPPF.</w:t>
      </w:r>
    </w:p>
    <w:p w14:paraId="68631DBD"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The renewable and low-carbon energy guidance for onshore wind outlines several considerations and requirements:</w:t>
      </w:r>
    </w:p>
    <w:p w14:paraId="3D78D738" w14:textId="77777777" w:rsidR="00EB3550" w:rsidRPr="00BE538F" w:rsidRDefault="00EB3550" w:rsidP="00BE538F">
      <w:pPr>
        <w:pStyle w:val="ListParagraph"/>
        <w:numPr>
          <w:ilvl w:val="0"/>
          <w:numId w:val="12"/>
        </w:numPr>
        <w:spacing w:after="200" w:line="360" w:lineRule="auto"/>
        <w:rPr>
          <w:rFonts w:ascii="Arial" w:hAnsi="Arial" w:cs="Arial"/>
          <w:sz w:val="24"/>
          <w:szCs w:val="24"/>
        </w:rPr>
      </w:pPr>
      <w:r w:rsidRPr="00BE538F">
        <w:rPr>
          <w:rFonts w:ascii="Arial" w:hAnsi="Arial" w:cs="Arial"/>
          <w:sz w:val="24"/>
          <w:szCs w:val="24"/>
        </w:rPr>
        <w:t>Safety consultations should be undertaken with:</w:t>
      </w:r>
    </w:p>
    <w:p w14:paraId="5FE546F9" w14:textId="45F9C4A7" w:rsidR="00EB3550" w:rsidRPr="00BE538F" w:rsidRDefault="00EB3550" w:rsidP="00BE538F">
      <w:pPr>
        <w:pStyle w:val="ListParagraph"/>
        <w:numPr>
          <w:ilvl w:val="1"/>
          <w:numId w:val="12"/>
        </w:numPr>
        <w:spacing w:after="200" w:line="360" w:lineRule="auto"/>
        <w:rPr>
          <w:rFonts w:ascii="Arial" w:hAnsi="Arial" w:cs="Arial"/>
          <w:sz w:val="24"/>
          <w:szCs w:val="24"/>
        </w:rPr>
      </w:pPr>
      <w:r w:rsidRPr="00BE538F">
        <w:rPr>
          <w:rFonts w:ascii="Arial" w:hAnsi="Arial" w:cs="Arial"/>
          <w:sz w:val="24"/>
          <w:szCs w:val="24"/>
        </w:rPr>
        <w:t>Nearby buildings (noise considerations usually provide enough separation)</w:t>
      </w:r>
      <w:r w:rsidR="007A1D55" w:rsidRPr="00BE538F">
        <w:rPr>
          <w:rFonts w:ascii="Arial" w:hAnsi="Arial" w:cs="Arial"/>
          <w:sz w:val="24"/>
          <w:szCs w:val="24"/>
        </w:rPr>
        <w:t>;</w:t>
      </w:r>
    </w:p>
    <w:p w14:paraId="79E0B12B" w14:textId="67935576" w:rsidR="00EB3550" w:rsidRPr="00BE538F" w:rsidRDefault="00EB3550" w:rsidP="00BE538F">
      <w:pPr>
        <w:pStyle w:val="ListParagraph"/>
        <w:numPr>
          <w:ilvl w:val="1"/>
          <w:numId w:val="12"/>
        </w:numPr>
        <w:spacing w:after="200" w:line="360" w:lineRule="auto"/>
        <w:rPr>
          <w:rFonts w:ascii="Arial" w:hAnsi="Arial" w:cs="Arial"/>
          <w:sz w:val="24"/>
          <w:szCs w:val="24"/>
        </w:rPr>
      </w:pPr>
      <w:r w:rsidRPr="00BE538F">
        <w:rPr>
          <w:rFonts w:ascii="Arial" w:hAnsi="Arial" w:cs="Arial"/>
          <w:sz w:val="24"/>
          <w:szCs w:val="24"/>
        </w:rPr>
        <w:t>Power lines</w:t>
      </w:r>
      <w:r w:rsidR="007A1D55" w:rsidRPr="00BE538F">
        <w:rPr>
          <w:rFonts w:ascii="Arial" w:hAnsi="Arial" w:cs="Arial"/>
          <w:sz w:val="24"/>
          <w:szCs w:val="24"/>
        </w:rPr>
        <w:t>;</w:t>
      </w:r>
    </w:p>
    <w:p w14:paraId="3BF9C258" w14:textId="53F582CD" w:rsidR="00EB3550" w:rsidRPr="00BE538F" w:rsidRDefault="00EB3550" w:rsidP="00BE538F">
      <w:pPr>
        <w:pStyle w:val="ListParagraph"/>
        <w:numPr>
          <w:ilvl w:val="1"/>
          <w:numId w:val="12"/>
        </w:numPr>
        <w:spacing w:after="200" w:line="360" w:lineRule="auto"/>
        <w:rPr>
          <w:rFonts w:ascii="Arial" w:hAnsi="Arial" w:cs="Arial"/>
          <w:sz w:val="24"/>
          <w:szCs w:val="24"/>
        </w:rPr>
      </w:pPr>
      <w:r w:rsidRPr="00BE538F">
        <w:rPr>
          <w:rFonts w:ascii="Arial" w:hAnsi="Arial" w:cs="Arial"/>
          <w:sz w:val="24"/>
          <w:szCs w:val="24"/>
        </w:rPr>
        <w:t>Air traffic control/radar (statutory within 15km, advisory within 32km)</w:t>
      </w:r>
      <w:r w:rsidR="007A1D55" w:rsidRPr="00BE538F">
        <w:rPr>
          <w:rFonts w:ascii="Arial" w:hAnsi="Arial" w:cs="Arial"/>
          <w:sz w:val="24"/>
          <w:szCs w:val="24"/>
        </w:rPr>
        <w:t>;</w:t>
      </w:r>
    </w:p>
    <w:p w14:paraId="77A19065" w14:textId="675390B5" w:rsidR="00EB3550" w:rsidRPr="00BE538F" w:rsidRDefault="00EB3550" w:rsidP="00BE538F">
      <w:pPr>
        <w:pStyle w:val="ListParagraph"/>
        <w:numPr>
          <w:ilvl w:val="1"/>
          <w:numId w:val="12"/>
        </w:numPr>
        <w:spacing w:after="200" w:line="360" w:lineRule="auto"/>
        <w:rPr>
          <w:rFonts w:ascii="Arial" w:hAnsi="Arial" w:cs="Arial"/>
          <w:sz w:val="24"/>
          <w:szCs w:val="24"/>
        </w:rPr>
      </w:pPr>
      <w:r w:rsidRPr="00BE538F">
        <w:rPr>
          <w:rFonts w:ascii="Arial" w:hAnsi="Arial" w:cs="Arial"/>
          <w:sz w:val="24"/>
          <w:szCs w:val="24"/>
        </w:rPr>
        <w:t>Weather radar</w:t>
      </w:r>
      <w:r w:rsidR="007A1D55" w:rsidRPr="00BE538F">
        <w:rPr>
          <w:rFonts w:ascii="Arial" w:hAnsi="Arial" w:cs="Arial"/>
          <w:sz w:val="24"/>
          <w:szCs w:val="24"/>
        </w:rPr>
        <w:t>; and</w:t>
      </w:r>
    </w:p>
    <w:p w14:paraId="0C2D5826" w14:textId="41FB4F9A" w:rsidR="00EB3550" w:rsidRPr="00BE538F" w:rsidRDefault="00EB3550" w:rsidP="00BE538F">
      <w:pPr>
        <w:pStyle w:val="ListParagraph"/>
        <w:numPr>
          <w:ilvl w:val="1"/>
          <w:numId w:val="12"/>
        </w:numPr>
        <w:spacing w:after="200" w:line="360" w:lineRule="auto"/>
        <w:rPr>
          <w:rFonts w:ascii="Arial" w:hAnsi="Arial" w:cs="Arial"/>
          <w:sz w:val="24"/>
          <w:szCs w:val="24"/>
        </w:rPr>
      </w:pPr>
      <w:r w:rsidRPr="00BE538F">
        <w:rPr>
          <w:rFonts w:ascii="Arial" w:hAnsi="Arial" w:cs="Arial"/>
          <w:sz w:val="24"/>
          <w:szCs w:val="24"/>
        </w:rPr>
        <w:t>Strategic road network (see national highways advice for further detail)</w:t>
      </w:r>
      <w:r w:rsidR="00D126AE" w:rsidRPr="00BE538F">
        <w:rPr>
          <w:rFonts w:ascii="Arial" w:hAnsi="Arial" w:cs="Arial"/>
          <w:sz w:val="24"/>
          <w:szCs w:val="24"/>
        </w:rPr>
        <w:t xml:space="preserve"> </w:t>
      </w:r>
      <w:hyperlink r:id="rId32" w:history="1">
        <w:r w:rsidR="00D126AE" w:rsidRPr="00BE538F">
          <w:rPr>
            <w:rStyle w:val="Hyperlink"/>
            <w:rFonts w:ascii="Arial" w:hAnsi="Arial" w:cs="Arial"/>
            <w:sz w:val="24"/>
            <w:szCs w:val="24"/>
          </w:rPr>
          <w:t>(Department for Transport, 2022)</w:t>
        </w:r>
      </w:hyperlink>
      <w:r w:rsidR="007A1D55" w:rsidRPr="00BE538F">
        <w:rPr>
          <w:rFonts w:ascii="Arial" w:hAnsi="Arial" w:cs="Arial"/>
          <w:sz w:val="24"/>
          <w:szCs w:val="24"/>
        </w:rPr>
        <w:t>.</w:t>
      </w:r>
    </w:p>
    <w:p w14:paraId="429B5B2F" w14:textId="3312A946" w:rsidR="00EB3550" w:rsidRPr="00BE538F" w:rsidRDefault="00EB3550" w:rsidP="00BE538F">
      <w:pPr>
        <w:pStyle w:val="ListParagraph"/>
        <w:numPr>
          <w:ilvl w:val="0"/>
          <w:numId w:val="12"/>
        </w:numPr>
        <w:spacing w:after="200" w:line="360" w:lineRule="auto"/>
        <w:rPr>
          <w:rFonts w:ascii="Arial" w:hAnsi="Arial" w:cs="Arial"/>
          <w:sz w:val="24"/>
          <w:szCs w:val="24"/>
        </w:rPr>
      </w:pPr>
      <w:r w:rsidRPr="00BE538F">
        <w:rPr>
          <w:rFonts w:ascii="Arial" w:hAnsi="Arial" w:cs="Arial"/>
          <w:sz w:val="24"/>
          <w:szCs w:val="24"/>
        </w:rPr>
        <w:t>Consultation with Ofcom regarding electromagnetic transmission networks</w:t>
      </w:r>
      <w:r w:rsidR="00D126AE" w:rsidRPr="00BE538F">
        <w:rPr>
          <w:rFonts w:ascii="Arial" w:hAnsi="Arial" w:cs="Arial"/>
          <w:sz w:val="24"/>
          <w:szCs w:val="24"/>
        </w:rPr>
        <w:t>;</w:t>
      </w:r>
    </w:p>
    <w:p w14:paraId="5D05E873" w14:textId="373A17A4" w:rsidR="00EB3550" w:rsidRPr="00BE538F" w:rsidRDefault="00EB3550" w:rsidP="00BE538F">
      <w:pPr>
        <w:pStyle w:val="ListParagraph"/>
        <w:numPr>
          <w:ilvl w:val="0"/>
          <w:numId w:val="12"/>
        </w:numPr>
        <w:spacing w:after="200" w:line="360" w:lineRule="auto"/>
        <w:rPr>
          <w:rFonts w:ascii="Arial" w:hAnsi="Arial" w:cs="Arial"/>
          <w:sz w:val="24"/>
          <w:szCs w:val="24"/>
        </w:rPr>
      </w:pPr>
      <w:r w:rsidRPr="00BE538F">
        <w:rPr>
          <w:rFonts w:ascii="Arial" w:hAnsi="Arial" w:cs="Arial"/>
          <w:sz w:val="24"/>
          <w:szCs w:val="24"/>
        </w:rPr>
        <w:t>Ecological considerations (bats and birds)</w:t>
      </w:r>
      <w:r w:rsidR="00D126AE" w:rsidRPr="00BE538F">
        <w:rPr>
          <w:rFonts w:ascii="Arial" w:hAnsi="Arial" w:cs="Arial"/>
          <w:sz w:val="24"/>
          <w:szCs w:val="24"/>
        </w:rPr>
        <w:t>;</w:t>
      </w:r>
    </w:p>
    <w:p w14:paraId="46B35D77" w14:textId="3F287FDB" w:rsidR="00EB3550" w:rsidRPr="00BE538F" w:rsidRDefault="00EB3550" w:rsidP="00BE538F">
      <w:pPr>
        <w:pStyle w:val="ListParagraph"/>
        <w:numPr>
          <w:ilvl w:val="0"/>
          <w:numId w:val="12"/>
        </w:numPr>
        <w:spacing w:after="200" w:line="360" w:lineRule="auto"/>
        <w:rPr>
          <w:rFonts w:ascii="Arial" w:hAnsi="Arial" w:cs="Arial"/>
          <w:sz w:val="24"/>
          <w:szCs w:val="24"/>
        </w:rPr>
      </w:pPr>
      <w:r w:rsidRPr="00BE538F">
        <w:rPr>
          <w:rFonts w:ascii="Arial" w:hAnsi="Arial" w:cs="Arial"/>
          <w:sz w:val="24"/>
          <w:szCs w:val="24"/>
        </w:rPr>
        <w:t>Shadow flicker (only for properties within 130 degrees either side of North)</w:t>
      </w:r>
      <w:r w:rsidR="00D126AE" w:rsidRPr="00BE538F">
        <w:rPr>
          <w:rFonts w:ascii="Arial" w:hAnsi="Arial" w:cs="Arial"/>
          <w:sz w:val="24"/>
          <w:szCs w:val="24"/>
        </w:rPr>
        <w:t>;</w:t>
      </w:r>
    </w:p>
    <w:p w14:paraId="6A158854" w14:textId="0E7E9CF9" w:rsidR="00EB3550" w:rsidRPr="00BE538F" w:rsidRDefault="00EB3550" w:rsidP="00BE538F">
      <w:pPr>
        <w:pStyle w:val="ListParagraph"/>
        <w:numPr>
          <w:ilvl w:val="0"/>
          <w:numId w:val="12"/>
        </w:numPr>
        <w:spacing w:after="0" w:line="360" w:lineRule="auto"/>
        <w:rPr>
          <w:rFonts w:ascii="Arial" w:hAnsi="Arial" w:cs="Arial"/>
          <w:sz w:val="24"/>
          <w:szCs w:val="24"/>
        </w:rPr>
      </w:pPr>
      <w:r w:rsidRPr="00BE538F">
        <w:rPr>
          <w:rFonts w:ascii="Arial" w:hAnsi="Arial" w:cs="Arial"/>
          <w:sz w:val="24"/>
          <w:szCs w:val="24"/>
        </w:rPr>
        <w:t>Cumulative impact (separately for landscape and visual impact)</w:t>
      </w:r>
      <w:r w:rsidR="00D126AE" w:rsidRPr="00BE538F">
        <w:rPr>
          <w:rFonts w:ascii="Arial" w:hAnsi="Arial" w:cs="Arial"/>
          <w:sz w:val="24"/>
          <w:szCs w:val="24"/>
        </w:rPr>
        <w:t>;</w:t>
      </w:r>
    </w:p>
    <w:p w14:paraId="571BE025" w14:textId="5AA878C9" w:rsidR="00EB3550" w:rsidRPr="00BE538F" w:rsidRDefault="00EB3550" w:rsidP="00BE538F">
      <w:pPr>
        <w:pStyle w:val="ListParagraph"/>
        <w:numPr>
          <w:ilvl w:val="0"/>
          <w:numId w:val="12"/>
        </w:numPr>
        <w:spacing w:after="200" w:line="360" w:lineRule="auto"/>
        <w:rPr>
          <w:rFonts w:ascii="Arial" w:hAnsi="Arial" w:cs="Arial"/>
          <w:sz w:val="24"/>
          <w:szCs w:val="24"/>
        </w:rPr>
      </w:pPr>
      <w:r w:rsidRPr="00BE538F">
        <w:rPr>
          <w:rFonts w:ascii="Arial" w:hAnsi="Arial" w:cs="Arial"/>
          <w:sz w:val="24"/>
          <w:szCs w:val="24"/>
        </w:rPr>
        <w:t>Decommissioning plan</w:t>
      </w:r>
      <w:r w:rsidR="00D126AE" w:rsidRPr="00BE538F">
        <w:rPr>
          <w:rFonts w:ascii="Arial" w:hAnsi="Arial" w:cs="Arial"/>
          <w:sz w:val="24"/>
          <w:szCs w:val="24"/>
        </w:rPr>
        <w:t>; and</w:t>
      </w:r>
    </w:p>
    <w:p w14:paraId="6372DF47" w14:textId="6129A01C" w:rsidR="00EB3550" w:rsidRPr="00BE538F" w:rsidRDefault="00EB3550" w:rsidP="00BE538F">
      <w:pPr>
        <w:pStyle w:val="ListParagraph"/>
        <w:numPr>
          <w:ilvl w:val="0"/>
          <w:numId w:val="12"/>
        </w:numPr>
        <w:spacing w:after="200" w:line="360" w:lineRule="auto"/>
        <w:rPr>
          <w:rFonts w:ascii="Arial" w:hAnsi="Arial" w:cs="Arial"/>
          <w:sz w:val="24"/>
          <w:szCs w:val="24"/>
        </w:rPr>
      </w:pPr>
      <w:r w:rsidRPr="00BE538F">
        <w:rPr>
          <w:rFonts w:ascii="Arial" w:hAnsi="Arial" w:cs="Arial"/>
          <w:sz w:val="24"/>
          <w:szCs w:val="24"/>
        </w:rPr>
        <w:lastRenderedPageBreak/>
        <w:t>Pre-application local community consultation (for projects with more than two turbines or with a hub height greater than 15m)</w:t>
      </w:r>
      <w:r w:rsidR="00D126AE" w:rsidRPr="00BE538F">
        <w:rPr>
          <w:rFonts w:ascii="Arial" w:hAnsi="Arial" w:cs="Arial"/>
          <w:sz w:val="24"/>
          <w:szCs w:val="24"/>
        </w:rPr>
        <w:t xml:space="preserve"> </w:t>
      </w:r>
      <w:hyperlink r:id="rId33" w:history="1">
        <w:r w:rsidR="00D126AE" w:rsidRPr="00BE538F">
          <w:rPr>
            <w:rStyle w:val="Hyperlink"/>
            <w:rFonts w:ascii="Arial" w:hAnsi="Arial" w:cs="Arial"/>
            <w:sz w:val="24"/>
            <w:szCs w:val="24"/>
          </w:rPr>
          <w:t>(Welsh Government, 2011)</w:t>
        </w:r>
      </w:hyperlink>
      <w:r w:rsidRPr="00BE538F">
        <w:rPr>
          <w:rFonts w:ascii="Arial" w:hAnsi="Arial" w:cs="Arial"/>
          <w:sz w:val="24"/>
          <w:szCs w:val="24"/>
        </w:rPr>
        <w:t>.</w:t>
      </w:r>
      <w:r w:rsidR="00397B5B" w:rsidRPr="00BE538F" w:rsidDel="00397B5B">
        <w:rPr>
          <w:rFonts w:ascii="Arial" w:hAnsi="Arial" w:cs="Arial"/>
          <w:sz w:val="24"/>
          <w:szCs w:val="24"/>
        </w:rPr>
        <w:t xml:space="preserve"> </w:t>
      </w:r>
    </w:p>
    <w:p w14:paraId="48EC9FF4" w14:textId="77777777" w:rsidR="00EB3550" w:rsidRPr="00BE538F" w:rsidRDefault="00EB3550" w:rsidP="00527B0F">
      <w:pPr>
        <w:pStyle w:val="Heading2"/>
        <w:rPr>
          <w:rFonts w:ascii="Arial" w:hAnsi="Arial" w:cs="Arial"/>
        </w:rPr>
      </w:pPr>
      <w:bookmarkStart w:id="31" w:name="_Toc188013952"/>
      <w:bookmarkStart w:id="32" w:name="_Toc198879957"/>
      <w:r w:rsidRPr="00BE538F">
        <w:rPr>
          <w:rFonts w:ascii="Arial" w:hAnsi="Arial" w:cs="Arial"/>
        </w:rPr>
        <w:t>3.3 Wales</w:t>
      </w:r>
      <w:bookmarkEnd w:id="31"/>
      <w:bookmarkEnd w:id="32"/>
    </w:p>
    <w:p w14:paraId="38C12277" w14:textId="6FDE5B1A" w:rsidR="00EB3550" w:rsidRPr="00BE538F" w:rsidRDefault="00FC27A1" w:rsidP="00BE538F">
      <w:pPr>
        <w:spacing w:line="360" w:lineRule="auto"/>
        <w:rPr>
          <w:rFonts w:ascii="Arial" w:hAnsi="Arial" w:cs="Arial"/>
          <w:sz w:val="24"/>
          <w:szCs w:val="24"/>
        </w:rPr>
      </w:pPr>
      <w:r w:rsidRPr="00BE538F">
        <w:rPr>
          <w:rFonts w:ascii="Arial" w:hAnsi="Arial" w:cs="Arial"/>
          <w:sz w:val="24"/>
          <w:szCs w:val="24"/>
        </w:rPr>
        <w:t xml:space="preserve">Onshore wind farm projects between 10MW and 350MW in Wales are considered to be </w:t>
      </w:r>
      <w:r w:rsidR="001573ED" w:rsidRPr="00BE538F">
        <w:rPr>
          <w:rFonts w:ascii="Arial" w:hAnsi="Arial" w:cs="Arial"/>
          <w:sz w:val="24"/>
          <w:szCs w:val="24"/>
        </w:rPr>
        <w:t>Developments of National Significance</w:t>
      </w:r>
      <w:r w:rsidR="005E33E5" w:rsidRPr="00BE538F">
        <w:rPr>
          <w:rFonts w:ascii="Arial" w:hAnsi="Arial" w:cs="Arial"/>
          <w:sz w:val="24"/>
          <w:szCs w:val="24"/>
        </w:rPr>
        <w:t xml:space="preserve"> </w:t>
      </w:r>
      <w:r w:rsidRPr="00BE538F">
        <w:rPr>
          <w:rFonts w:ascii="Arial" w:hAnsi="Arial" w:cs="Arial"/>
          <w:sz w:val="24"/>
          <w:szCs w:val="24"/>
        </w:rPr>
        <w:t>and require consent from the Welsh government. For projects over 350MW, the Secretary of State handles consenting under the Nationally Significant Infrastructure Projects (NSIP) process.</w:t>
      </w:r>
    </w:p>
    <w:p w14:paraId="64540C5D"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Designing for Renewable Energy in Wales sets out a list of siting factors and design considerations for all wind farms, including:</w:t>
      </w:r>
    </w:p>
    <w:p w14:paraId="076B4386" w14:textId="0DE61ED8" w:rsidR="00EB3550" w:rsidRPr="00BE538F" w:rsidRDefault="00EB3550" w:rsidP="00BE538F">
      <w:pPr>
        <w:pStyle w:val="ListParagraph"/>
        <w:numPr>
          <w:ilvl w:val="0"/>
          <w:numId w:val="13"/>
        </w:numPr>
        <w:spacing w:after="200" w:line="360" w:lineRule="auto"/>
        <w:rPr>
          <w:rFonts w:ascii="Arial" w:hAnsi="Arial" w:cs="Arial"/>
          <w:sz w:val="24"/>
          <w:szCs w:val="24"/>
        </w:rPr>
      </w:pPr>
      <w:r w:rsidRPr="00BE538F">
        <w:rPr>
          <w:rFonts w:ascii="Arial" w:hAnsi="Arial" w:cs="Arial"/>
          <w:sz w:val="24"/>
          <w:szCs w:val="24"/>
        </w:rPr>
        <w:t>Exposed places that are open, high and relatively prominent</w:t>
      </w:r>
      <w:r w:rsidR="00556D21" w:rsidRPr="00BE538F">
        <w:rPr>
          <w:rFonts w:ascii="Arial" w:hAnsi="Arial" w:cs="Arial"/>
          <w:sz w:val="24"/>
          <w:szCs w:val="24"/>
        </w:rPr>
        <w:t>;</w:t>
      </w:r>
    </w:p>
    <w:p w14:paraId="390A2932" w14:textId="5A30AEC4" w:rsidR="00EB3550" w:rsidRPr="00BE538F" w:rsidRDefault="00EB3550" w:rsidP="00BE538F">
      <w:pPr>
        <w:pStyle w:val="ListParagraph"/>
        <w:numPr>
          <w:ilvl w:val="0"/>
          <w:numId w:val="13"/>
        </w:numPr>
        <w:spacing w:after="200" w:line="360" w:lineRule="auto"/>
        <w:rPr>
          <w:rFonts w:ascii="Arial" w:hAnsi="Arial" w:cs="Arial"/>
          <w:sz w:val="24"/>
          <w:szCs w:val="24"/>
        </w:rPr>
      </w:pPr>
      <w:r w:rsidRPr="00BE538F">
        <w:rPr>
          <w:rFonts w:ascii="Arial" w:hAnsi="Arial" w:cs="Arial"/>
          <w:sz w:val="24"/>
          <w:szCs w:val="24"/>
        </w:rPr>
        <w:t>Land ownership</w:t>
      </w:r>
      <w:r w:rsidR="00556D21" w:rsidRPr="00BE538F">
        <w:rPr>
          <w:rFonts w:ascii="Arial" w:hAnsi="Arial" w:cs="Arial"/>
          <w:sz w:val="24"/>
          <w:szCs w:val="24"/>
        </w:rPr>
        <w:t>;</w:t>
      </w:r>
    </w:p>
    <w:p w14:paraId="55DB41DF" w14:textId="0D5BE79D" w:rsidR="00EB3550" w:rsidRPr="00BE538F" w:rsidRDefault="00EB3550" w:rsidP="00BE538F">
      <w:pPr>
        <w:pStyle w:val="ListParagraph"/>
        <w:numPr>
          <w:ilvl w:val="0"/>
          <w:numId w:val="13"/>
        </w:numPr>
        <w:spacing w:after="200" w:line="360" w:lineRule="auto"/>
        <w:rPr>
          <w:rFonts w:ascii="Arial" w:hAnsi="Arial" w:cs="Arial"/>
          <w:sz w:val="24"/>
          <w:szCs w:val="24"/>
        </w:rPr>
      </w:pPr>
      <w:r w:rsidRPr="00BE538F">
        <w:rPr>
          <w:rFonts w:ascii="Arial" w:hAnsi="Arial" w:cs="Arial"/>
          <w:sz w:val="24"/>
          <w:szCs w:val="24"/>
        </w:rPr>
        <w:t>Access</w:t>
      </w:r>
      <w:r w:rsidR="00556D21" w:rsidRPr="00BE538F">
        <w:rPr>
          <w:rFonts w:ascii="Arial" w:hAnsi="Arial" w:cs="Arial"/>
          <w:sz w:val="24"/>
          <w:szCs w:val="24"/>
        </w:rPr>
        <w:t>;</w:t>
      </w:r>
    </w:p>
    <w:p w14:paraId="577AF8A1" w14:textId="572866DC" w:rsidR="00EB3550" w:rsidRPr="00BE538F" w:rsidRDefault="00EB3550" w:rsidP="00BE538F">
      <w:pPr>
        <w:pStyle w:val="ListParagraph"/>
        <w:numPr>
          <w:ilvl w:val="0"/>
          <w:numId w:val="13"/>
        </w:numPr>
        <w:spacing w:after="200" w:line="360" w:lineRule="auto"/>
        <w:rPr>
          <w:rFonts w:ascii="Arial" w:hAnsi="Arial" w:cs="Arial"/>
          <w:sz w:val="24"/>
          <w:szCs w:val="24"/>
        </w:rPr>
      </w:pPr>
      <w:r w:rsidRPr="00BE538F">
        <w:rPr>
          <w:rFonts w:ascii="Arial" w:hAnsi="Arial" w:cs="Arial"/>
          <w:sz w:val="24"/>
          <w:szCs w:val="24"/>
        </w:rPr>
        <w:t>Site topography</w:t>
      </w:r>
      <w:r w:rsidR="00556D21" w:rsidRPr="00BE538F">
        <w:rPr>
          <w:rFonts w:ascii="Arial" w:hAnsi="Arial" w:cs="Arial"/>
          <w:sz w:val="24"/>
          <w:szCs w:val="24"/>
        </w:rPr>
        <w:t>;</w:t>
      </w:r>
    </w:p>
    <w:p w14:paraId="23A1128E" w14:textId="25AC234B" w:rsidR="00EB3550" w:rsidRPr="00BE538F" w:rsidRDefault="00EB3550" w:rsidP="00BE538F">
      <w:pPr>
        <w:pStyle w:val="ListParagraph"/>
        <w:numPr>
          <w:ilvl w:val="0"/>
          <w:numId w:val="13"/>
        </w:numPr>
        <w:spacing w:after="200" w:line="360" w:lineRule="auto"/>
        <w:rPr>
          <w:rFonts w:ascii="Arial" w:hAnsi="Arial" w:cs="Arial"/>
          <w:sz w:val="24"/>
          <w:szCs w:val="24"/>
        </w:rPr>
      </w:pPr>
      <w:r w:rsidRPr="00BE538F">
        <w:rPr>
          <w:rFonts w:ascii="Arial" w:hAnsi="Arial" w:cs="Arial"/>
          <w:sz w:val="24"/>
          <w:szCs w:val="24"/>
        </w:rPr>
        <w:t>Proximity to settlements</w:t>
      </w:r>
      <w:r w:rsidR="00556D21" w:rsidRPr="00BE538F">
        <w:rPr>
          <w:rFonts w:ascii="Arial" w:hAnsi="Arial" w:cs="Arial"/>
          <w:sz w:val="24"/>
          <w:szCs w:val="24"/>
        </w:rPr>
        <w:t>;</w:t>
      </w:r>
    </w:p>
    <w:p w14:paraId="755191CC" w14:textId="361D8D10" w:rsidR="00EB3550" w:rsidRPr="00BE538F" w:rsidRDefault="00EB3550" w:rsidP="00BE538F">
      <w:pPr>
        <w:pStyle w:val="ListParagraph"/>
        <w:numPr>
          <w:ilvl w:val="0"/>
          <w:numId w:val="13"/>
        </w:numPr>
        <w:spacing w:after="200" w:line="360" w:lineRule="auto"/>
        <w:rPr>
          <w:rFonts w:ascii="Arial" w:hAnsi="Arial" w:cs="Arial"/>
          <w:sz w:val="24"/>
          <w:szCs w:val="24"/>
        </w:rPr>
      </w:pPr>
      <w:r w:rsidRPr="00BE538F">
        <w:rPr>
          <w:rFonts w:ascii="Arial" w:hAnsi="Arial" w:cs="Arial"/>
          <w:sz w:val="24"/>
          <w:szCs w:val="24"/>
        </w:rPr>
        <w:t>Design of lighting to minimise visual impact while satisfying health and safety and navigation requirements</w:t>
      </w:r>
      <w:r w:rsidR="00556D21" w:rsidRPr="00BE538F">
        <w:rPr>
          <w:rFonts w:ascii="Arial" w:hAnsi="Arial" w:cs="Arial"/>
          <w:sz w:val="24"/>
          <w:szCs w:val="24"/>
        </w:rPr>
        <w:t>;</w:t>
      </w:r>
    </w:p>
    <w:p w14:paraId="5553327F" w14:textId="66934F4F" w:rsidR="00EB3550" w:rsidRPr="00BE538F" w:rsidRDefault="00EB3550" w:rsidP="00BE538F">
      <w:pPr>
        <w:pStyle w:val="ListParagraph"/>
        <w:numPr>
          <w:ilvl w:val="0"/>
          <w:numId w:val="13"/>
        </w:numPr>
        <w:spacing w:after="200" w:line="360" w:lineRule="auto"/>
        <w:rPr>
          <w:rFonts w:ascii="Arial" w:hAnsi="Arial" w:cs="Arial"/>
          <w:sz w:val="24"/>
          <w:szCs w:val="24"/>
        </w:rPr>
      </w:pPr>
      <w:r w:rsidRPr="00BE538F">
        <w:rPr>
          <w:rFonts w:ascii="Arial" w:hAnsi="Arial" w:cs="Arial"/>
          <w:sz w:val="24"/>
          <w:szCs w:val="24"/>
        </w:rPr>
        <w:t>The potential to allow continued agricultural use</w:t>
      </w:r>
      <w:r w:rsidR="00556D21" w:rsidRPr="00BE538F">
        <w:rPr>
          <w:rFonts w:ascii="Arial" w:hAnsi="Arial" w:cs="Arial"/>
          <w:sz w:val="24"/>
          <w:szCs w:val="24"/>
        </w:rPr>
        <w:t>;</w:t>
      </w:r>
    </w:p>
    <w:p w14:paraId="73C527D9" w14:textId="55615614" w:rsidR="00EB3550" w:rsidRPr="00BE538F" w:rsidRDefault="00EB3550" w:rsidP="00BE538F">
      <w:pPr>
        <w:pStyle w:val="ListParagraph"/>
        <w:numPr>
          <w:ilvl w:val="0"/>
          <w:numId w:val="13"/>
        </w:numPr>
        <w:spacing w:after="200" w:line="360" w:lineRule="auto"/>
        <w:rPr>
          <w:rFonts w:ascii="Arial" w:hAnsi="Arial" w:cs="Arial"/>
          <w:sz w:val="24"/>
          <w:szCs w:val="24"/>
        </w:rPr>
      </w:pPr>
      <w:r w:rsidRPr="00BE538F">
        <w:rPr>
          <w:rFonts w:ascii="Arial" w:hAnsi="Arial" w:cs="Arial"/>
          <w:sz w:val="24"/>
          <w:szCs w:val="24"/>
        </w:rPr>
        <w:t>Visual prominence arising from turbine blade movement</w:t>
      </w:r>
      <w:r w:rsidR="00556D21" w:rsidRPr="00BE538F">
        <w:rPr>
          <w:rFonts w:ascii="Arial" w:hAnsi="Arial" w:cs="Arial"/>
          <w:sz w:val="24"/>
          <w:szCs w:val="24"/>
        </w:rPr>
        <w:t>;</w:t>
      </w:r>
    </w:p>
    <w:p w14:paraId="453A65A4" w14:textId="1815A608" w:rsidR="00EB3550" w:rsidRPr="00BE538F" w:rsidRDefault="00EB3550" w:rsidP="00BE538F">
      <w:pPr>
        <w:pStyle w:val="ListParagraph"/>
        <w:numPr>
          <w:ilvl w:val="0"/>
          <w:numId w:val="13"/>
        </w:numPr>
        <w:spacing w:after="200" w:line="360" w:lineRule="auto"/>
        <w:rPr>
          <w:rFonts w:ascii="Arial" w:hAnsi="Arial" w:cs="Arial"/>
          <w:sz w:val="24"/>
          <w:szCs w:val="24"/>
        </w:rPr>
      </w:pPr>
      <w:r w:rsidRPr="00BE538F">
        <w:rPr>
          <w:rFonts w:ascii="Arial" w:hAnsi="Arial" w:cs="Arial"/>
          <w:sz w:val="24"/>
          <w:szCs w:val="24"/>
        </w:rPr>
        <w:t>Avoiding excessive turbulence (turbine separation distance should be roughly 4-5 rotor diameters)</w:t>
      </w:r>
      <w:r w:rsidR="00556D21" w:rsidRPr="00BE538F">
        <w:rPr>
          <w:rFonts w:ascii="Arial" w:hAnsi="Arial" w:cs="Arial"/>
          <w:sz w:val="24"/>
          <w:szCs w:val="24"/>
        </w:rPr>
        <w:t>;</w:t>
      </w:r>
    </w:p>
    <w:p w14:paraId="6C5A12BA" w14:textId="426FC17B" w:rsidR="00EB3550" w:rsidRPr="00BE538F" w:rsidRDefault="00EB3550" w:rsidP="00BE538F">
      <w:pPr>
        <w:pStyle w:val="ListParagraph"/>
        <w:numPr>
          <w:ilvl w:val="0"/>
          <w:numId w:val="14"/>
        </w:numPr>
        <w:spacing w:after="200" w:line="360" w:lineRule="auto"/>
        <w:rPr>
          <w:rFonts w:ascii="Arial" w:hAnsi="Arial" w:cs="Arial"/>
          <w:sz w:val="24"/>
          <w:szCs w:val="24"/>
        </w:rPr>
      </w:pPr>
      <w:r w:rsidRPr="00BE538F">
        <w:rPr>
          <w:rFonts w:ascii="Arial" w:hAnsi="Arial" w:cs="Arial"/>
          <w:sz w:val="24"/>
          <w:szCs w:val="24"/>
        </w:rPr>
        <w:t>Consulting with NATS and Operators of Officially Safeguarded Civil Aerodromes</w:t>
      </w:r>
      <w:r w:rsidR="00556D21" w:rsidRPr="00BE538F">
        <w:rPr>
          <w:rFonts w:ascii="Arial" w:hAnsi="Arial" w:cs="Arial"/>
          <w:sz w:val="24"/>
          <w:szCs w:val="24"/>
        </w:rPr>
        <w:t>;</w:t>
      </w:r>
    </w:p>
    <w:p w14:paraId="568D54B7" w14:textId="5BA03FBF" w:rsidR="00EB3550" w:rsidRPr="00BE538F" w:rsidRDefault="00EB3550" w:rsidP="00BE538F">
      <w:pPr>
        <w:pStyle w:val="ListParagraph"/>
        <w:numPr>
          <w:ilvl w:val="0"/>
          <w:numId w:val="14"/>
        </w:numPr>
        <w:spacing w:after="200" w:line="360" w:lineRule="auto"/>
        <w:rPr>
          <w:rFonts w:ascii="Arial" w:hAnsi="Arial" w:cs="Arial"/>
          <w:sz w:val="24"/>
          <w:szCs w:val="24"/>
        </w:rPr>
      </w:pPr>
      <w:r w:rsidRPr="00BE538F">
        <w:rPr>
          <w:rFonts w:ascii="Arial" w:hAnsi="Arial" w:cs="Arial"/>
          <w:sz w:val="24"/>
          <w:szCs w:val="24"/>
        </w:rPr>
        <w:t>Ornithology (Consulting with Natural Resources Wales (NRW), and the Royal Society for Protection of Birds)</w:t>
      </w:r>
      <w:r w:rsidR="00556D21" w:rsidRPr="00BE538F">
        <w:rPr>
          <w:rFonts w:ascii="Arial" w:hAnsi="Arial" w:cs="Arial"/>
          <w:sz w:val="24"/>
          <w:szCs w:val="24"/>
        </w:rPr>
        <w:t>; and</w:t>
      </w:r>
    </w:p>
    <w:p w14:paraId="06F7E719" w14:textId="118F488A" w:rsidR="00EB3550" w:rsidRPr="00BE538F" w:rsidRDefault="00EB3550" w:rsidP="00BE538F">
      <w:pPr>
        <w:pStyle w:val="ListParagraph"/>
        <w:numPr>
          <w:ilvl w:val="0"/>
          <w:numId w:val="14"/>
        </w:numPr>
        <w:spacing w:after="200" w:line="360" w:lineRule="auto"/>
        <w:rPr>
          <w:rFonts w:ascii="Arial" w:hAnsi="Arial" w:cs="Arial"/>
          <w:sz w:val="24"/>
          <w:szCs w:val="24"/>
        </w:rPr>
      </w:pPr>
      <w:r w:rsidRPr="00BE538F">
        <w:rPr>
          <w:rFonts w:ascii="Arial" w:hAnsi="Arial" w:cs="Arial"/>
          <w:sz w:val="24"/>
          <w:szCs w:val="24"/>
        </w:rPr>
        <w:t>Siting/design/impact of ancillary infrastructure (substations, transmission lines, access tracks and control buildings).</w:t>
      </w:r>
      <w:r w:rsidR="00556D21" w:rsidRPr="00BE538F" w:rsidDel="00556D21">
        <w:rPr>
          <w:rFonts w:ascii="Arial" w:hAnsi="Arial" w:cs="Arial"/>
          <w:sz w:val="24"/>
          <w:szCs w:val="24"/>
        </w:rPr>
        <w:t xml:space="preserve"> </w:t>
      </w:r>
    </w:p>
    <w:p w14:paraId="6F694BCC" w14:textId="4ADC180F"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Best practice guidance on planning implications for renewable and low-carbon energy reinforces many of these requirements</w:t>
      </w:r>
      <w:r w:rsidR="00556D21" w:rsidRPr="00BE538F">
        <w:rPr>
          <w:rFonts w:ascii="Arial" w:hAnsi="Arial" w:cs="Arial"/>
          <w:sz w:val="24"/>
          <w:szCs w:val="24"/>
        </w:rPr>
        <w:t xml:space="preserve"> </w:t>
      </w:r>
      <w:hyperlink r:id="rId34" w:history="1">
        <w:r w:rsidR="00556D21" w:rsidRPr="00BE538F">
          <w:rPr>
            <w:rStyle w:val="Hyperlink"/>
            <w:rFonts w:ascii="Arial" w:hAnsi="Arial" w:cs="Arial"/>
            <w:sz w:val="24"/>
            <w:szCs w:val="24"/>
          </w:rPr>
          <w:t>(Welsh Government, 2011)</w:t>
        </w:r>
      </w:hyperlink>
      <w:r w:rsidRPr="00BE538F">
        <w:rPr>
          <w:rFonts w:ascii="Arial" w:hAnsi="Arial" w:cs="Arial"/>
          <w:sz w:val="24"/>
          <w:szCs w:val="24"/>
        </w:rPr>
        <w:t>.</w:t>
      </w:r>
    </w:p>
    <w:p w14:paraId="358DC746" w14:textId="77777777" w:rsidR="00EB3550" w:rsidRPr="00BE538F" w:rsidRDefault="00EB3550" w:rsidP="00527B0F">
      <w:pPr>
        <w:pStyle w:val="Heading2"/>
        <w:rPr>
          <w:rFonts w:ascii="Arial" w:hAnsi="Arial" w:cs="Arial"/>
        </w:rPr>
      </w:pPr>
      <w:bookmarkStart w:id="33" w:name="_Toc188013953"/>
      <w:bookmarkStart w:id="34" w:name="_Toc198879958"/>
      <w:r w:rsidRPr="00BE538F">
        <w:rPr>
          <w:rFonts w:ascii="Arial" w:hAnsi="Arial" w:cs="Arial"/>
        </w:rPr>
        <w:t>3.4 Scotland</w:t>
      </w:r>
      <w:bookmarkEnd w:id="33"/>
      <w:bookmarkEnd w:id="34"/>
    </w:p>
    <w:p w14:paraId="1B228D24"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 xml:space="preserve">Applications for onshore wind farms with a capacity below 50 MW are made to, and determined by, the relevant LPA. Those with a generating capacity above 50 MW </w:t>
      </w:r>
      <w:r w:rsidRPr="00BE538F">
        <w:rPr>
          <w:rFonts w:ascii="Arial" w:hAnsi="Arial" w:cs="Arial"/>
          <w:sz w:val="24"/>
          <w:szCs w:val="24"/>
        </w:rPr>
        <w:lastRenderedPageBreak/>
        <w:t>require energy consent from Scottish Ministers under section 36 of the Electricity Act 1989. They are also classed as 'national developments' (as defined in the Scottish Government's NPF4).</w:t>
      </w:r>
    </w:p>
    <w:p w14:paraId="17D2C885" w14:textId="376BA7B7" w:rsidR="00556D21" w:rsidRPr="00BE538F" w:rsidRDefault="00EB3550" w:rsidP="00BE538F">
      <w:pPr>
        <w:spacing w:line="360" w:lineRule="auto"/>
        <w:rPr>
          <w:rFonts w:ascii="Arial" w:hAnsi="Arial" w:cs="Arial"/>
          <w:sz w:val="24"/>
          <w:szCs w:val="24"/>
        </w:rPr>
      </w:pPr>
      <w:r w:rsidRPr="00BE538F">
        <w:rPr>
          <w:rFonts w:ascii="Arial" w:hAnsi="Arial" w:cs="Arial"/>
          <w:sz w:val="24"/>
          <w:szCs w:val="24"/>
        </w:rPr>
        <w:t>Policy 11 of NPF4 specifies that development proposals in national parks and scenic areas will not be supported, and that consented wind farms are expected to operate in perpetuity.</w:t>
      </w:r>
      <w:r w:rsidRPr="00BE538F">
        <w:rPr>
          <w:rFonts w:ascii="Arial" w:hAnsi="Arial" w:cs="Arial"/>
          <w:sz w:val="24"/>
          <w:szCs w:val="24"/>
        </w:rPr>
        <w:fldChar w:fldCharType="begin"/>
      </w:r>
      <w:r w:rsidRPr="00BE538F">
        <w:rPr>
          <w:rFonts w:ascii="Arial" w:hAnsi="Arial" w:cs="Arial"/>
          <w:sz w:val="24"/>
          <w:szCs w:val="24"/>
        </w:rPr>
        <w:instrText xml:space="preserve"> NOTEREF _Ref181007226 \h </w:instrText>
      </w:r>
      <w:r w:rsidR="00AB5CC1" w:rsidRPr="00BE538F">
        <w:rPr>
          <w:rFonts w:ascii="Arial" w:hAnsi="Arial" w:cs="Arial"/>
          <w:sz w:val="24"/>
          <w:szCs w:val="24"/>
        </w:rPr>
        <w:instrText xml:space="preserve"> \* MERGEFORMAT </w:instrText>
      </w:r>
      <w:r w:rsidRPr="00BB2A34">
        <w:rPr>
          <w:rFonts w:ascii="Arial" w:hAnsi="Arial" w:cs="Arial"/>
          <w:sz w:val="24"/>
          <w:szCs w:val="24"/>
        </w:rPr>
      </w:r>
      <w:r w:rsidR="00000000">
        <w:rPr>
          <w:rFonts w:ascii="Arial" w:hAnsi="Arial" w:cs="Arial"/>
          <w:sz w:val="24"/>
          <w:szCs w:val="24"/>
        </w:rPr>
        <w:fldChar w:fldCharType="separate"/>
      </w:r>
      <w:r w:rsidRPr="00BE538F">
        <w:rPr>
          <w:rFonts w:ascii="Arial" w:hAnsi="Arial" w:cs="Arial"/>
          <w:sz w:val="24"/>
          <w:szCs w:val="24"/>
        </w:rPr>
        <w:fldChar w:fldCharType="end"/>
      </w:r>
      <w:r w:rsidRPr="00BE538F">
        <w:rPr>
          <w:rFonts w:ascii="Arial" w:hAnsi="Arial" w:cs="Arial"/>
          <w:sz w:val="24"/>
          <w:szCs w:val="24"/>
        </w:rPr>
        <w:t xml:space="preserve"> The Scottish onshore wind policy statement expands on several of the most relevant impacts covered in section 2.3 in relation to onshore wind</w:t>
      </w:r>
      <w:r w:rsidR="00205172" w:rsidRPr="00BE538F">
        <w:rPr>
          <w:rFonts w:ascii="Arial" w:hAnsi="Arial" w:cs="Arial"/>
          <w:sz w:val="24"/>
          <w:szCs w:val="24"/>
        </w:rPr>
        <w:t xml:space="preserve"> </w:t>
      </w:r>
      <w:hyperlink r:id="rId35" w:history="1">
        <w:r w:rsidR="00205172" w:rsidRPr="00BE538F">
          <w:rPr>
            <w:rStyle w:val="Hyperlink"/>
            <w:rFonts w:ascii="Arial" w:hAnsi="Arial" w:cs="Arial"/>
            <w:sz w:val="24"/>
            <w:szCs w:val="24"/>
          </w:rPr>
          <w:t>(Scottish Government, 2022)</w:t>
        </w:r>
      </w:hyperlink>
      <w:r w:rsidRPr="00BE538F">
        <w:rPr>
          <w:rFonts w:ascii="Arial" w:hAnsi="Arial" w:cs="Arial"/>
          <w:sz w:val="24"/>
          <w:szCs w:val="24"/>
        </w:rPr>
        <w:t>.</w:t>
      </w:r>
    </w:p>
    <w:p w14:paraId="178D6736" w14:textId="380DE9FA"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The Scottish Government also published a planning advice note in 2014 which contains additional non-prescriptive guidance for LPAs</w:t>
      </w:r>
      <w:r w:rsidR="007A72EB" w:rsidRPr="00BE538F">
        <w:rPr>
          <w:rFonts w:ascii="Arial" w:hAnsi="Arial" w:cs="Arial"/>
          <w:sz w:val="24"/>
          <w:szCs w:val="24"/>
        </w:rPr>
        <w:t xml:space="preserve"> </w:t>
      </w:r>
      <w:hyperlink r:id="rId36" w:history="1">
        <w:r w:rsidR="007A72EB" w:rsidRPr="00BE538F">
          <w:rPr>
            <w:rStyle w:val="Hyperlink"/>
            <w:rFonts w:ascii="Arial" w:hAnsi="Arial" w:cs="Arial"/>
            <w:sz w:val="24"/>
            <w:szCs w:val="24"/>
          </w:rPr>
          <w:t xml:space="preserve">(Scottish Government, </w:t>
        </w:r>
        <w:r w:rsidR="00122C5C" w:rsidRPr="00BE538F">
          <w:rPr>
            <w:rStyle w:val="Hyperlink"/>
            <w:rFonts w:ascii="Arial" w:hAnsi="Arial" w:cs="Arial"/>
            <w:sz w:val="24"/>
            <w:szCs w:val="24"/>
          </w:rPr>
          <w:t>2014)</w:t>
        </w:r>
      </w:hyperlink>
      <w:r w:rsidRPr="00BE538F">
        <w:rPr>
          <w:rFonts w:ascii="Arial" w:hAnsi="Arial" w:cs="Arial"/>
          <w:sz w:val="24"/>
          <w:szCs w:val="24"/>
        </w:rPr>
        <w:t>, including:</w:t>
      </w:r>
    </w:p>
    <w:p w14:paraId="26BD40E2" w14:textId="78892F61" w:rsidR="00EB3550" w:rsidRPr="00BE538F" w:rsidRDefault="00EB3550" w:rsidP="00BE538F">
      <w:pPr>
        <w:pStyle w:val="ListParagraph"/>
        <w:numPr>
          <w:ilvl w:val="0"/>
          <w:numId w:val="15"/>
        </w:numPr>
        <w:spacing w:after="200" w:line="360" w:lineRule="auto"/>
        <w:rPr>
          <w:rFonts w:ascii="Arial" w:hAnsi="Arial" w:cs="Arial"/>
          <w:sz w:val="24"/>
          <w:szCs w:val="24"/>
        </w:rPr>
      </w:pPr>
      <w:r w:rsidRPr="00BE538F">
        <w:rPr>
          <w:rFonts w:ascii="Arial" w:hAnsi="Arial" w:cs="Arial"/>
          <w:sz w:val="24"/>
          <w:szCs w:val="24"/>
        </w:rPr>
        <w:t>Buffer zones should not be established around natural heritage areas – proposals should be considered on merit</w:t>
      </w:r>
      <w:r w:rsidR="00556D21" w:rsidRPr="00BE538F">
        <w:rPr>
          <w:rFonts w:ascii="Arial" w:hAnsi="Arial" w:cs="Arial"/>
          <w:sz w:val="24"/>
          <w:szCs w:val="24"/>
        </w:rPr>
        <w:t>;</w:t>
      </w:r>
    </w:p>
    <w:p w14:paraId="456EF5C5" w14:textId="22E35D09" w:rsidR="00EB3550" w:rsidRPr="00BE538F" w:rsidRDefault="00EB3550" w:rsidP="00BE538F">
      <w:pPr>
        <w:pStyle w:val="ListParagraph"/>
        <w:numPr>
          <w:ilvl w:val="0"/>
          <w:numId w:val="15"/>
        </w:numPr>
        <w:spacing w:after="200" w:line="360" w:lineRule="auto"/>
        <w:rPr>
          <w:rFonts w:ascii="Arial" w:hAnsi="Arial" w:cs="Arial"/>
          <w:sz w:val="24"/>
          <w:szCs w:val="24"/>
        </w:rPr>
      </w:pPr>
      <w:r w:rsidRPr="00BE538F">
        <w:rPr>
          <w:rFonts w:ascii="Arial" w:hAnsi="Arial" w:cs="Arial"/>
          <w:sz w:val="24"/>
          <w:szCs w:val="24"/>
        </w:rPr>
        <w:t>Warning signage for ice throw (where turbine blades develop ice build-up, and then sheds the ice while revolving) as an added precaution to equipment safety standards</w:t>
      </w:r>
      <w:r w:rsidR="00556D21" w:rsidRPr="00BE538F">
        <w:rPr>
          <w:rFonts w:ascii="Arial" w:hAnsi="Arial" w:cs="Arial"/>
          <w:sz w:val="24"/>
          <w:szCs w:val="24"/>
        </w:rPr>
        <w:t>; and</w:t>
      </w:r>
    </w:p>
    <w:p w14:paraId="4CD74DF9" w14:textId="4E5A4E54" w:rsidR="00EB3550" w:rsidRPr="00BE538F" w:rsidRDefault="00EB3550" w:rsidP="00BE538F">
      <w:pPr>
        <w:pStyle w:val="ListParagraph"/>
        <w:numPr>
          <w:ilvl w:val="0"/>
          <w:numId w:val="15"/>
        </w:numPr>
        <w:spacing w:after="200" w:line="360" w:lineRule="auto"/>
        <w:rPr>
          <w:rFonts w:ascii="Arial" w:hAnsi="Arial" w:cs="Arial"/>
          <w:sz w:val="24"/>
          <w:szCs w:val="24"/>
        </w:rPr>
      </w:pPr>
      <w:r w:rsidRPr="00BE538F">
        <w:rPr>
          <w:rFonts w:ascii="Arial" w:hAnsi="Arial" w:cs="Arial"/>
          <w:sz w:val="24"/>
          <w:szCs w:val="24"/>
        </w:rPr>
        <w:t>Up to 2km separation buffer to the edge of villages, towns and cities. Individual assessments of local geography and circumstances should always be considered.</w:t>
      </w:r>
    </w:p>
    <w:p w14:paraId="7AD72744" w14:textId="12EAAA1F" w:rsidR="00EB3550" w:rsidRPr="00BE538F" w:rsidRDefault="00EB3550" w:rsidP="00BE538F">
      <w:pPr>
        <w:spacing w:line="360" w:lineRule="auto"/>
        <w:rPr>
          <w:rFonts w:ascii="Arial" w:hAnsi="Arial" w:cs="Arial"/>
          <w:sz w:val="24"/>
          <w:szCs w:val="24"/>
        </w:rPr>
      </w:pPr>
      <w:proofErr w:type="spellStart"/>
      <w:r w:rsidRPr="00BE538F">
        <w:rPr>
          <w:rFonts w:ascii="Arial" w:hAnsi="Arial" w:cs="Arial"/>
          <w:sz w:val="24"/>
          <w:szCs w:val="24"/>
        </w:rPr>
        <w:t>NatureScot</w:t>
      </w:r>
      <w:proofErr w:type="spellEnd"/>
      <w:r w:rsidRPr="00BE538F">
        <w:rPr>
          <w:rFonts w:ascii="Arial" w:hAnsi="Arial" w:cs="Arial"/>
          <w:sz w:val="24"/>
          <w:szCs w:val="24"/>
        </w:rPr>
        <w:t xml:space="preserve"> has also produced guidance aimed at both developers and planners detailing environmental considerations</w:t>
      </w:r>
      <w:r w:rsidR="00503422" w:rsidRPr="00BE538F">
        <w:rPr>
          <w:rFonts w:ascii="Arial" w:hAnsi="Arial" w:cs="Arial"/>
          <w:sz w:val="24"/>
          <w:szCs w:val="24"/>
        </w:rPr>
        <w:t xml:space="preserve"> (see Onshore Wind Turbines: Planning Advice, </w:t>
      </w:r>
      <w:hyperlink r:id="rId37" w:history="1">
        <w:r w:rsidR="00503422" w:rsidRPr="00BE538F">
          <w:rPr>
            <w:rStyle w:val="Hyperlink"/>
            <w:rFonts w:ascii="Arial" w:hAnsi="Arial" w:cs="Arial"/>
            <w:sz w:val="24"/>
            <w:szCs w:val="24"/>
          </w:rPr>
          <w:t>Scottish Government, 2014)</w:t>
        </w:r>
      </w:hyperlink>
      <w:r w:rsidRPr="00BE538F">
        <w:rPr>
          <w:rFonts w:ascii="Arial" w:hAnsi="Arial" w:cs="Arial"/>
          <w:sz w:val="24"/>
          <w:szCs w:val="24"/>
        </w:rPr>
        <w:t>. Though it doesn’t provide any new considerations, it is a useful source for further detail and reinforces many of the other given considerations.</w:t>
      </w:r>
    </w:p>
    <w:p w14:paraId="2B0A456E" w14:textId="77777777" w:rsidR="00EB3550" w:rsidRPr="00BE538F" w:rsidRDefault="00EB3550" w:rsidP="00527B0F">
      <w:pPr>
        <w:pStyle w:val="Heading2"/>
        <w:rPr>
          <w:rFonts w:ascii="Arial" w:hAnsi="Arial" w:cs="Arial"/>
        </w:rPr>
      </w:pPr>
      <w:bookmarkStart w:id="35" w:name="_Toc188013954"/>
      <w:bookmarkStart w:id="36" w:name="_Toc198879959"/>
      <w:r w:rsidRPr="00BE538F">
        <w:rPr>
          <w:rFonts w:ascii="Arial" w:hAnsi="Arial" w:cs="Arial"/>
        </w:rPr>
        <w:t>3.5 Northern Ireland</w:t>
      </w:r>
      <w:bookmarkEnd w:id="35"/>
      <w:bookmarkEnd w:id="36"/>
    </w:p>
    <w:p w14:paraId="44164BD3"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PPS18 policy RE1 and the best practice guidance from PPS18 together suggest that developers should consider the following matters for onshore wind:</w:t>
      </w:r>
    </w:p>
    <w:p w14:paraId="2667C6B4" w14:textId="77777777" w:rsidR="00EB3550" w:rsidRPr="00BE538F" w:rsidRDefault="00EB3550" w:rsidP="00BE538F">
      <w:pPr>
        <w:pStyle w:val="ListParagraph"/>
        <w:numPr>
          <w:ilvl w:val="0"/>
          <w:numId w:val="19"/>
        </w:numPr>
        <w:spacing w:after="200" w:line="360" w:lineRule="auto"/>
        <w:rPr>
          <w:rFonts w:ascii="Arial" w:hAnsi="Arial" w:cs="Arial"/>
          <w:sz w:val="24"/>
          <w:szCs w:val="24"/>
        </w:rPr>
      </w:pPr>
      <w:r w:rsidRPr="00BE538F">
        <w:rPr>
          <w:rFonts w:ascii="Arial" w:hAnsi="Arial" w:cs="Arial"/>
          <w:sz w:val="24"/>
          <w:szCs w:val="24"/>
        </w:rPr>
        <w:t xml:space="preserve">Impact on road, rail or aviation safety: </w:t>
      </w:r>
    </w:p>
    <w:p w14:paraId="763EB430" w14:textId="48AD0C2E" w:rsidR="00EB3550" w:rsidRPr="00BE538F" w:rsidRDefault="00EB3550" w:rsidP="00BE538F">
      <w:pPr>
        <w:pStyle w:val="ListParagraph"/>
        <w:numPr>
          <w:ilvl w:val="1"/>
          <w:numId w:val="19"/>
        </w:numPr>
        <w:spacing w:after="200" w:line="360" w:lineRule="auto"/>
        <w:rPr>
          <w:rFonts w:ascii="Arial" w:hAnsi="Arial" w:cs="Arial"/>
          <w:sz w:val="24"/>
          <w:szCs w:val="24"/>
        </w:rPr>
      </w:pPr>
      <w:r w:rsidRPr="00BE538F">
        <w:rPr>
          <w:rFonts w:ascii="Arial" w:hAnsi="Arial" w:cs="Arial"/>
          <w:sz w:val="24"/>
          <w:szCs w:val="24"/>
        </w:rPr>
        <w:t xml:space="preserve">For road and rail, a separation distance of tip height </w:t>
      </w:r>
      <w:r w:rsidR="00560357" w:rsidRPr="00BE538F">
        <w:rPr>
          <w:rFonts w:ascii="Arial" w:hAnsi="Arial" w:cs="Arial"/>
          <w:sz w:val="24"/>
          <w:szCs w:val="24"/>
        </w:rPr>
        <w:t>plus</w:t>
      </w:r>
      <w:r w:rsidRPr="00BE538F">
        <w:rPr>
          <w:rFonts w:ascii="Arial" w:hAnsi="Arial" w:cs="Arial"/>
          <w:sz w:val="24"/>
          <w:szCs w:val="24"/>
        </w:rPr>
        <w:t xml:space="preserve"> 10% is advised</w:t>
      </w:r>
      <w:r w:rsidR="00560357" w:rsidRPr="00BE538F">
        <w:rPr>
          <w:rFonts w:ascii="Arial" w:hAnsi="Arial" w:cs="Arial"/>
          <w:sz w:val="24"/>
          <w:szCs w:val="24"/>
        </w:rPr>
        <w:t>; and</w:t>
      </w:r>
    </w:p>
    <w:p w14:paraId="5E939C9B" w14:textId="224AADDE" w:rsidR="00EB3550" w:rsidRPr="00BE538F" w:rsidRDefault="00EB3550" w:rsidP="00BE538F">
      <w:pPr>
        <w:pStyle w:val="ListParagraph"/>
        <w:numPr>
          <w:ilvl w:val="1"/>
          <w:numId w:val="19"/>
        </w:numPr>
        <w:spacing w:after="200" w:line="360" w:lineRule="auto"/>
        <w:rPr>
          <w:rFonts w:ascii="Arial" w:hAnsi="Arial" w:cs="Arial"/>
          <w:sz w:val="24"/>
          <w:szCs w:val="24"/>
        </w:rPr>
      </w:pPr>
      <w:r w:rsidRPr="00BE538F">
        <w:rPr>
          <w:rFonts w:ascii="Arial" w:hAnsi="Arial" w:cs="Arial"/>
          <w:sz w:val="24"/>
          <w:szCs w:val="24"/>
        </w:rPr>
        <w:t>Aviation safety refers to radar interference and risk to low-flying aircraft</w:t>
      </w:r>
      <w:r w:rsidR="0028667D" w:rsidRPr="00BE538F">
        <w:rPr>
          <w:rFonts w:ascii="Arial" w:hAnsi="Arial" w:cs="Arial"/>
          <w:sz w:val="24"/>
          <w:szCs w:val="24"/>
        </w:rPr>
        <w:t>.</w:t>
      </w:r>
    </w:p>
    <w:p w14:paraId="761F9678" w14:textId="5F3ABFD6" w:rsidR="00EB3550" w:rsidRPr="00BE538F" w:rsidRDefault="00EB3550" w:rsidP="00BE538F">
      <w:pPr>
        <w:pStyle w:val="ListParagraph"/>
        <w:numPr>
          <w:ilvl w:val="0"/>
          <w:numId w:val="19"/>
        </w:numPr>
        <w:spacing w:after="200" w:line="360" w:lineRule="auto"/>
        <w:rPr>
          <w:rFonts w:ascii="Arial" w:hAnsi="Arial" w:cs="Arial"/>
          <w:sz w:val="24"/>
          <w:szCs w:val="24"/>
        </w:rPr>
      </w:pPr>
      <w:r w:rsidRPr="00BE538F">
        <w:rPr>
          <w:rFonts w:ascii="Arial" w:hAnsi="Arial" w:cs="Arial"/>
          <w:sz w:val="24"/>
          <w:szCs w:val="24"/>
        </w:rPr>
        <w:lastRenderedPageBreak/>
        <w:t>Local amenity impacts such as noise, shadow flicker, reflected light, ice throw, electromagnetic interference (communications, radar, air traffic control or other)</w:t>
      </w:r>
      <w:r w:rsidR="0028667D" w:rsidRPr="00BE538F">
        <w:rPr>
          <w:rFonts w:ascii="Arial" w:hAnsi="Arial" w:cs="Arial"/>
          <w:sz w:val="24"/>
          <w:szCs w:val="24"/>
        </w:rPr>
        <w:t xml:space="preserve"> – there is an a</w:t>
      </w:r>
      <w:r w:rsidRPr="00BE538F">
        <w:rPr>
          <w:rFonts w:ascii="Arial" w:hAnsi="Arial" w:cs="Arial"/>
          <w:sz w:val="24"/>
          <w:szCs w:val="24"/>
        </w:rPr>
        <w:t>dvised buffer of 10 rotor diameters (minimum of 500m) to occupied buildings</w:t>
      </w:r>
      <w:r w:rsidR="0028667D" w:rsidRPr="00BE538F">
        <w:rPr>
          <w:rFonts w:ascii="Arial" w:hAnsi="Arial" w:cs="Arial"/>
          <w:sz w:val="24"/>
          <w:szCs w:val="24"/>
        </w:rPr>
        <w:t>;</w:t>
      </w:r>
    </w:p>
    <w:p w14:paraId="34DC6AA9" w14:textId="5DC829AD" w:rsidR="00EB3550" w:rsidRPr="00BE538F" w:rsidRDefault="00EB3550" w:rsidP="00BE538F">
      <w:pPr>
        <w:pStyle w:val="ListParagraph"/>
        <w:numPr>
          <w:ilvl w:val="0"/>
          <w:numId w:val="19"/>
        </w:numPr>
        <w:spacing w:after="200" w:line="360" w:lineRule="auto"/>
        <w:rPr>
          <w:rFonts w:ascii="Arial" w:hAnsi="Arial" w:cs="Arial"/>
          <w:sz w:val="24"/>
          <w:szCs w:val="24"/>
        </w:rPr>
      </w:pPr>
      <w:r w:rsidRPr="00BE538F">
        <w:rPr>
          <w:rFonts w:ascii="Arial" w:hAnsi="Arial" w:cs="Arial"/>
          <w:sz w:val="24"/>
          <w:szCs w:val="24"/>
        </w:rPr>
        <w:t>Overall environmental and social benefits</w:t>
      </w:r>
      <w:r w:rsidR="0028667D" w:rsidRPr="00BE538F">
        <w:rPr>
          <w:rFonts w:ascii="Arial" w:hAnsi="Arial" w:cs="Arial"/>
          <w:sz w:val="24"/>
          <w:szCs w:val="24"/>
        </w:rPr>
        <w:t>;</w:t>
      </w:r>
    </w:p>
    <w:p w14:paraId="06F4B2FC" w14:textId="4CA738D8" w:rsidR="00EB3550" w:rsidRPr="00BE538F" w:rsidRDefault="00EB3550" w:rsidP="00BE538F">
      <w:pPr>
        <w:pStyle w:val="ListParagraph"/>
        <w:numPr>
          <w:ilvl w:val="0"/>
          <w:numId w:val="19"/>
        </w:numPr>
        <w:spacing w:after="200" w:line="360" w:lineRule="auto"/>
        <w:rPr>
          <w:rFonts w:ascii="Arial" w:hAnsi="Arial" w:cs="Arial"/>
          <w:sz w:val="24"/>
          <w:szCs w:val="24"/>
        </w:rPr>
      </w:pPr>
      <w:r w:rsidRPr="00BE538F">
        <w:rPr>
          <w:rFonts w:ascii="Arial" w:hAnsi="Arial" w:cs="Arial"/>
          <w:sz w:val="24"/>
          <w:szCs w:val="24"/>
        </w:rPr>
        <w:t>Potential impact of the project on nature conservation including direct and indirect effects on protected sites, habitats and sensitive species, and, where necessary, management plans for satisfactory co-existence of the site and any identified species</w:t>
      </w:r>
      <w:r w:rsidR="0028667D" w:rsidRPr="00BE538F">
        <w:rPr>
          <w:rFonts w:ascii="Arial" w:hAnsi="Arial" w:cs="Arial"/>
          <w:sz w:val="24"/>
          <w:szCs w:val="24"/>
        </w:rPr>
        <w:t>;</w:t>
      </w:r>
    </w:p>
    <w:p w14:paraId="74831C00" w14:textId="7AC41406" w:rsidR="00EB3550" w:rsidRPr="00BE538F" w:rsidRDefault="00EB3550" w:rsidP="00BE538F">
      <w:pPr>
        <w:pStyle w:val="ListParagraph"/>
        <w:numPr>
          <w:ilvl w:val="0"/>
          <w:numId w:val="19"/>
        </w:numPr>
        <w:spacing w:after="200" w:line="360" w:lineRule="auto"/>
        <w:rPr>
          <w:rFonts w:ascii="Arial" w:hAnsi="Arial" w:cs="Arial"/>
          <w:sz w:val="24"/>
          <w:szCs w:val="24"/>
        </w:rPr>
      </w:pPr>
      <w:r w:rsidRPr="00BE538F">
        <w:rPr>
          <w:rFonts w:ascii="Arial" w:hAnsi="Arial" w:cs="Arial"/>
          <w:sz w:val="24"/>
          <w:szCs w:val="24"/>
        </w:rPr>
        <w:t>Impacts on ground conditions including peat stability and risk of landslide or bog burst</w:t>
      </w:r>
      <w:r w:rsidR="0028667D" w:rsidRPr="00BE538F">
        <w:rPr>
          <w:rFonts w:ascii="Arial" w:hAnsi="Arial" w:cs="Arial"/>
          <w:sz w:val="24"/>
          <w:szCs w:val="24"/>
        </w:rPr>
        <w:t>;</w:t>
      </w:r>
    </w:p>
    <w:p w14:paraId="64D61D84" w14:textId="0F93ED76" w:rsidR="00EB3550" w:rsidRPr="00BE538F" w:rsidRDefault="00EB3550" w:rsidP="00BE538F">
      <w:pPr>
        <w:pStyle w:val="ListParagraph"/>
        <w:numPr>
          <w:ilvl w:val="0"/>
          <w:numId w:val="19"/>
        </w:numPr>
        <w:spacing w:after="200" w:line="360" w:lineRule="auto"/>
        <w:rPr>
          <w:rFonts w:ascii="Arial" w:hAnsi="Arial" w:cs="Arial"/>
          <w:sz w:val="24"/>
          <w:szCs w:val="24"/>
        </w:rPr>
      </w:pPr>
      <w:r w:rsidRPr="00BE538F">
        <w:rPr>
          <w:rFonts w:ascii="Arial" w:hAnsi="Arial" w:cs="Arial"/>
          <w:sz w:val="24"/>
          <w:szCs w:val="24"/>
        </w:rPr>
        <w:t>Impact on drainage, sedimentation of water bodies and other hydrological effects</w:t>
      </w:r>
      <w:r w:rsidR="0028667D" w:rsidRPr="00BE538F">
        <w:rPr>
          <w:rFonts w:ascii="Arial" w:hAnsi="Arial" w:cs="Arial"/>
          <w:sz w:val="24"/>
          <w:szCs w:val="24"/>
        </w:rPr>
        <w:t>;</w:t>
      </w:r>
    </w:p>
    <w:p w14:paraId="053731FD" w14:textId="6E058B57" w:rsidR="00EB3550" w:rsidRPr="00BE538F" w:rsidRDefault="00EB3550" w:rsidP="00BE538F">
      <w:pPr>
        <w:pStyle w:val="ListParagraph"/>
        <w:numPr>
          <w:ilvl w:val="0"/>
          <w:numId w:val="19"/>
        </w:numPr>
        <w:spacing w:after="200" w:line="360" w:lineRule="auto"/>
        <w:rPr>
          <w:rFonts w:ascii="Arial" w:hAnsi="Arial" w:cs="Arial"/>
          <w:sz w:val="24"/>
          <w:szCs w:val="24"/>
        </w:rPr>
      </w:pPr>
      <w:r w:rsidRPr="00BE538F">
        <w:rPr>
          <w:rFonts w:ascii="Arial" w:hAnsi="Arial" w:cs="Arial"/>
          <w:sz w:val="24"/>
          <w:szCs w:val="24"/>
        </w:rPr>
        <w:t>Adequacy of local access roads during construction</w:t>
      </w:r>
      <w:r w:rsidR="0028667D" w:rsidRPr="00BE538F">
        <w:rPr>
          <w:rFonts w:ascii="Arial" w:hAnsi="Arial" w:cs="Arial"/>
          <w:sz w:val="24"/>
          <w:szCs w:val="24"/>
        </w:rPr>
        <w:t>;</w:t>
      </w:r>
    </w:p>
    <w:p w14:paraId="31857301" w14:textId="7B21F64B" w:rsidR="00EB3550" w:rsidRPr="00BE538F" w:rsidRDefault="00EB3550" w:rsidP="00BE538F">
      <w:pPr>
        <w:pStyle w:val="ListParagraph"/>
        <w:numPr>
          <w:ilvl w:val="0"/>
          <w:numId w:val="19"/>
        </w:numPr>
        <w:spacing w:after="200" w:line="360" w:lineRule="auto"/>
        <w:rPr>
          <w:rFonts w:ascii="Arial" w:hAnsi="Arial" w:cs="Arial"/>
          <w:sz w:val="24"/>
          <w:szCs w:val="24"/>
        </w:rPr>
      </w:pPr>
      <w:r w:rsidRPr="00BE538F">
        <w:rPr>
          <w:rFonts w:ascii="Arial" w:hAnsi="Arial" w:cs="Arial"/>
          <w:sz w:val="24"/>
          <w:szCs w:val="24"/>
        </w:rPr>
        <w:t>Cumulative effects due to other projects (visual and noise)</w:t>
      </w:r>
      <w:r w:rsidR="005E2B4E" w:rsidRPr="00BE538F">
        <w:rPr>
          <w:rFonts w:ascii="Arial" w:hAnsi="Arial" w:cs="Arial"/>
          <w:sz w:val="24"/>
          <w:szCs w:val="24"/>
        </w:rPr>
        <w:t>;</w:t>
      </w:r>
    </w:p>
    <w:p w14:paraId="6799BAC3" w14:textId="60F2A111" w:rsidR="00EB3550" w:rsidRPr="00BE538F" w:rsidRDefault="00EB3550" w:rsidP="00BE538F">
      <w:pPr>
        <w:pStyle w:val="ListParagraph"/>
        <w:numPr>
          <w:ilvl w:val="0"/>
          <w:numId w:val="19"/>
        </w:numPr>
        <w:spacing w:after="200" w:line="360" w:lineRule="auto"/>
        <w:rPr>
          <w:rFonts w:ascii="Arial" w:hAnsi="Arial" w:cs="Arial"/>
          <w:sz w:val="24"/>
          <w:szCs w:val="24"/>
        </w:rPr>
      </w:pPr>
      <w:r w:rsidRPr="00BE538F">
        <w:rPr>
          <w:rFonts w:ascii="Arial" w:hAnsi="Arial" w:cs="Arial"/>
          <w:sz w:val="24"/>
          <w:szCs w:val="24"/>
        </w:rPr>
        <w:t>Location of proposed borrow pits and quarries and remedial works</w:t>
      </w:r>
      <w:r w:rsidR="005E2B4E" w:rsidRPr="00BE538F">
        <w:rPr>
          <w:rFonts w:ascii="Arial" w:hAnsi="Arial" w:cs="Arial"/>
          <w:sz w:val="24"/>
          <w:szCs w:val="24"/>
        </w:rPr>
        <w:t>;</w:t>
      </w:r>
    </w:p>
    <w:p w14:paraId="0F9EBD09" w14:textId="667F9B30" w:rsidR="00EB3550" w:rsidRPr="00BE538F" w:rsidRDefault="00EB3550" w:rsidP="00BE538F">
      <w:pPr>
        <w:pStyle w:val="ListParagraph"/>
        <w:numPr>
          <w:ilvl w:val="0"/>
          <w:numId w:val="19"/>
        </w:numPr>
        <w:spacing w:after="200" w:line="360" w:lineRule="auto"/>
        <w:rPr>
          <w:rFonts w:ascii="Arial" w:hAnsi="Arial" w:cs="Arial"/>
          <w:sz w:val="24"/>
          <w:szCs w:val="24"/>
        </w:rPr>
      </w:pPr>
      <w:r w:rsidRPr="00BE538F">
        <w:rPr>
          <w:rFonts w:ascii="Arial" w:hAnsi="Arial" w:cs="Arial"/>
          <w:sz w:val="24"/>
          <w:szCs w:val="24"/>
        </w:rPr>
        <w:t>Waste storage/disposal from construction/site clearance</w:t>
      </w:r>
      <w:r w:rsidR="005E2B4E" w:rsidRPr="00BE538F">
        <w:rPr>
          <w:rFonts w:ascii="Arial" w:hAnsi="Arial" w:cs="Arial"/>
          <w:sz w:val="24"/>
          <w:szCs w:val="24"/>
        </w:rPr>
        <w:t>; and</w:t>
      </w:r>
    </w:p>
    <w:p w14:paraId="57C6AEDA" w14:textId="77777777" w:rsidR="00EB3550" w:rsidRPr="00BE538F" w:rsidRDefault="00EB3550" w:rsidP="00BE538F">
      <w:pPr>
        <w:pStyle w:val="ListParagraph"/>
        <w:numPr>
          <w:ilvl w:val="0"/>
          <w:numId w:val="19"/>
        </w:numPr>
        <w:spacing w:after="200" w:line="360" w:lineRule="auto"/>
        <w:rPr>
          <w:rFonts w:ascii="Arial" w:hAnsi="Arial" w:cs="Arial"/>
          <w:sz w:val="24"/>
          <w:szCs w:val="24"/>
        </w:rPr>
      </w:pPr>
      <w:r w:rsidRPr="00BE538F">
        <w:rPr>
          <w:rFonts w:ascii="Arial" w:hAnsi="Arial" w:cs="Arial"/>
          <w:sz w:val="24"/>
          <w:szCs w:val="24"/>
        </w:rPr>
        <w:t>Approval for grid connection and related works.</w:t>
      </w:r>
    </w:p>
    <w:p w14:paraId="7C2EBDF4"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The Department of Agriculture, Environment and Rural Affairs (DAERA) has produced a guide to wind energy installations, covering the key environmental considerations and required information, including:</w:t>
      </w:r>
    </w:p>
    <w:p w14:paraId="283A34E6" w14:textId="77777777" w:rsidR="00EB3550" w:rsidRPr="00BE538F" w:rsidRDefault="00EB3550" w:rsidP="00BE538F">
      <w:pPr>
        <w:pStyle w:val="ListParagraph"/>
        <w:numPr>
          <w:ilvl w:val="0"/>
          <w:numId w:val="18"/>
        </w:numPr>
        <w:spacing w:after="200" w:line="360" w:lineRule="auto"/>
        <w:rPr>
          <w:rFonts w:ascii="Arial" w:hAnsi="Arial" w:cs="Arial"/>
          <w:sz w:val="24"/>
          <w:szCs w:val="24"/>
        </w:rPr>
      </w:pPr>
      <w:r w:rsidRPr="00BE538F">
        <w:rPr>
          <w:rFonts w:ascii="Arial" w:hAnsi="Arial" w:cs="Arial"/>
          <w:sz w:val="24"/>
          <w:szCs w:val="24"/>
        </w:rPr>
        <w:t>Environmental considerations:</w:t>
      </w:r>
    </w:p>
    <w:p w14:paraId="5C0C2DC0" w14:textId="700B7F69" w:rsidR="00EB3550" w:rsidRPr="00BE538F" w:rsidRDefault="00EB3550" w:rsidP="00BE538F">
      <w:pPr>
        <w:pStyle w:val="ListParagraph"/>
        <w:numPr>
          <w:ilvl w:val="1"/>
          <w:numId w:val="18"/>
        </w:numPr>
        <w:spacing w:after="200" w:line="360" w:lineRule="auto"/>
        <w:rPr>
          <w:rFonts w:ascii="Arial" w:hAnsi="Arial" w:cs="Arial"/>
          <w:sz w:val="24"/>
          <w:szCs w:val="24"/>
        </w:rPr>
      </w:pPr>
      <w:r w:rsidRPr="00BE538F">
        <w:rPr>
          <w:rFonts w:ascii="Arial" w:hAnsi="Arial" w:cs="Arial"/>
          <w:sz w:val="24"/>
          <w:szCs w:val="24"/>
        </w:rPr>
        <w:t>Collision risk to birds/bats from rotating blades</w:t>
      </w:r>
      <w:r w:rsidR="00105071" w:rsidRPr="00BE538F">
        <w:rPr>
          <w:rFonts w:ascii="Arial" w:hAnsi="Arial" w:cs="Arial"/>
          <w:sz w:val="24"/>
          <w:szCs w:val="24"/>
        </w:rPr>
        <w:t>.</w:t>
      </w:r>
    </w:p>
    <w:p w14:paraId="5A44028E" w14:textId="77777777" w:rsidR="00EB3550" w:rsidRPr="00BE538F" w:rsidRDefault="00EB3550" w:rsidP="00BE538F">
      <w:pPr>
        <w:pStyle w:val="ListParagraph"/>
        <w:numPr>
          <w:ilvl w:val="0"/>
          <w:numId w:val="18"/>
        </w:numPr>
        <w:spacing w:after="200" w:line="360" w:lineRule="auto"/>
        <w:rPr>
          <w:rFonts w:ascii="Arial" w:hAnsi="Arial" w:cs="Arial"/>
          <w:sz w:val="24"/>
          <w:szCs w:val="24"/>
        </w:rPr>
      </w:pPr>
      <w:r w:rsidRPr="00BE538F">
        <w:rPr>
          <w:rFonts w:ascii="Arial" w:hAnsi="Arial" w:cs="Arial"/>
          <w:sz w:val="24"/>
          <w:szCs w:val="24"/>
        </w:rPr>
        <w:t>Required information/documentation:</w:t>
      </w:r>
    </w:p>
    <w:p w14:paraId="7E22D953" w14:textId="1DA9F1DB" w:rsidR="00EB3550" w:rsidRPr="00BE538F" w:rsidRDefault="00EB3550" w:rsidP="00BE538F">
      <w:pPr>
        <w:pStyle w:val="ListParagraph"/>
        <w:numPr>
          <w:ilvl w:val="1"/>
          <w:numId w:val="18"/>
        </w:numPr>
        <w:spacing w:after="200" w:line="360" w:lineRule="auto"/>
        <w:rPr>
          <w:rFonts w:ascii="Arial" w:hAnsi="Arial" w:cs="Arial"/>
          <w:sz w:val="24"/>
          <w:szCs w:val="24"/>
        </w:rPr>
      </w:pPr>
      <w:r w:rsidRPr="00BE538F">
        <w:rPr>
          <w:rFonts w:ascii="Arial" w:hAnsi="Arial" w:cs="Arial"/>
          <w:sz w:val="24"/>
          <w:szCs w:val="24"/>
        </w:rPr>
        <w:t>Turbines: number of, positioning, height and blade diameter, hardstanding dimensions</w:t>
      </w:r>
      <w:r w:rsidR="00105071" w:rsidRPr="00BE538F">
        <w:rPr>
          <w:rFonts w:ascii="Arial" w:hAnsi="Arial" w:cs="Arial"/>
          <w:sz w:val="24"/>
          <w:szCs w:val="24"/>
        </w:rPr>
        <w:t>;</w:t>
      </w:r>
    </w:p>
    <w:p w14:paraId="19F839E5" w14:textId="25FF02FE" w:rsidR="00EB3550" w:rsidRPr="00BE538F" w:rsidRDefault="00EB3550" w:rsidP="00BE538F">
      <w:pPr>
        <w:pStyle w:val="ListParagraph"/>
        <w:numPr>
          <w:ilvl w:val="1"/>
          <w:numId w:val="18"/>
        </w:numPr>
        <w:spacing w:after="200" w:line="360" w:lineRule="auto"/>
        <w:rPr>
          <w:rFonts w:ascii="Arial" w:hAnsi="Arial" w:cs="Arial"/>
          <w:sz w:val="24"/>
          <w:szCs w:val="24"/>
        </w:rPr>
      </w:pPr>
      <w:r w:rsidRPr="00BE538F">
        <w:rPr>
          <w:rFonts w:ascii="Arial" w:hAnsi="Arial" w:cs="Arial"/>
          <w:sz w:val="24"/>
          <w:szCs w:val="24"/>
        </w:rPr>
        <w:t>Infrastructure: access/internal tracks, transformers/substations and transmission lines, haul routes, site drainage plans</w:t>
      </w:r>
      <w:r w:rsidR="00105071" w:rsidRPr="00BE538F">
        <w:rPr>
          <w:rFonts w:ascii="Arial" w:hAnsi="Arial" w:cs="Arial"/>
          <w:sz w:val="24"/>
          <w:szCs w:val="24"/>
        </w:rPr>
        <w:t>;</w:t>
      </w:r>
    </w:p>
    <w:p w14:paraId="62D1B9AA" w14:textId="1B9AE695" w:rsidR="00EB3550" w:rsidRPr="00BE538F" w:rsidRDefault="00EB3550" w:rsidP="00BE538F">
      <w:pPr>
        <w:pStyle w:val="ListParagraph"/>
        <w:numPr>
          <w:ilvl w:val="1"/>
          <w:numId w:val="18"/>
        </w:numPr>
        <w:spacing w:after="200" w:line="360" w:lineRule="auto"/>
        <w:rPr>
          <w:rFonts w:ascii="Arial" w:hAnsi="Arial" w:cs="Arial"/>
          <w:sz w:val="24"/>
          <w:szCs w:val="24"/>
        </w:rPr>
      </w:pPr>
      <w:r w:rsidRPr="00BE538F">
        <w:rPr>
          <w:rFonts w:ascii="Arial" w:hAnsi="Arial" w:cs="Arial"/>
          <w:sz w:val="24"/>
          <w:szCs w:val="24"/>
        </w:rPr>
        <w:t>Surveys/assessments: ecology, hydrological/hydrogeological, landscape/visual impact</w:t>
      </w:r>
      <w:r w:rsidR="00105071" w:rsidRPr="00BE538F">
        <w:rPr>
          <w:rFonts w:ascii="Arial" w:hAnsi="Arial" w:cs="Arial"/>
          <w:sz w:val="24"/>
          <w:szCs w:val="24"/>
        </w:rPr>
        <w:t>; and</w:t>
      </w:r>
    </w:p>
    <w:p w14:paraId="22CCA6CC" w14:textId="640A75D0" w:rsidR="00EB3550" w:rsidRPr="00BE538F" w:rsidRDefault="00EB3550" w:rsidP="00BE538F">
      <w:pPr>
        <w:pStyle w:val="ListParagraph"/>
        <w:numPr>
          <w:ilvl w:val="1"/>
          <w:numId w:val="18"/>
        </w:numPr>
        <w:spacing w:after="200" w:line="360" w:lineRule="auto"/>
        <w:rPr>
          <w:rFonts w:ascii="Arial" w:hAnsi="Arial" w:cs="Arial"/>
          <w:sz w:val="24"/>
          <w:szCs w:val="24"/>
          <w:lang w:val="fr-FR"/>
        </w:rPr>
      </w:pPr>
      <w:r w:rsidRPr="00BE538F">
        <w:rPr>
          <w:rFonts w:ascii="Arial" w:hAnsi="Arial" w:cs="Arial"/>
          <w:sz w:val="24"/>
          <w:szCs w:val="24"/>
          <w:lang w:val="fr-FR"/>
        </w:rPr>
        <w:t xml:space="preserve">Mitigation/compensation: pollution </w:t>
      </w:r>
      <w:r w:rsidRPr="00BE538F">
        <w:rPr>
          <w:rFonts w:ascii="Arial" w:hAnsi="Arial" w:cs="Arial"/>
          <w:sz w:val="24"/>
          <w:szCs w:val="24"/>
        </w:rPr>
        <w:t>prevention measures,</w:t>
      </w:r>
      <w:r w:rsidRPr="00BE538F">
        <w:rPr>
          <w:rFonts w:ascii="Arial" w:hAnsi="Arial" w:cs="Arial"/>
          <w:sz w:val="24"/>
          <w:szCs w:val="24"/>
          <w:lang w:val="fr-FR"/>
        </w:rPr>
        <w:t xml:space="preserve"> habitat management/</w:t>
      </w:r>
      <w:r w:rsidRPr="00BE538F">
        <w:rPr>
          <w:rFonts w:ascii="Arial" w:hAnsi="Arial" w:cs="Arial"/>
          <w:sz w:val="24"/>
          <w:szCs w:val="24"/>
        </w:rPr>
        <w:t>mitigation plan, species mitigation</w:t>
      </w:r>
      <w:r w:rsidR="000135AC" w:rsidRPr="00BE538F">
        <w:rPr>
          <w:rFonts w:ascii="Arial" w:hAnsi="Arial" w:cs="Arial"/>
          <w:sz w:val="24"/>
          <w:szCs w:val="24"/>
        </w:rPr>
        <w:t xml:space="preserve"> </w:t>
      </w:r>
      <w:hyperlink r:id="rId38" w:history="1">
        <w:r w:rsidR="000135AC" w:rsidRPr="00BE538F">
          <w:rPr>
            <w:rStyle w:val="Hyperlink"/>
            <w:rFonts w:ascii="Arial" w:hAnsi="Arial" w:cs="Arial"/>
            <w:sz w:val="24"/>
            <w:szCs w:val="24"/>
          </w:rPr>
          <w:t>(</w:t>
        </w:r>
        <w:r w:rsidR="00245E6F" w:rsidRPr="00BE538F">
          <w:rPr>
            <w:rStyle w:val="Hyperlink"/>
            <w:rFonts w:ascii="Arial" w:hAnsi="Arial" w:cs="Arial"/>
            <w:sz w:val="24"/>
            <w:szCs w:val="24"/>
          </w:rPr>
          <w:t xml:space="preserve">DAERA, </w:t>
        </w:r>
        <w:r w:rsidR="00F43B8D" w:rsidRPr="00BE538F">
          <w:rPr>
            <w:rStyle w:val="Hyperlink"/>
            <w:rFonts w:ascii="Arial" w:hAnsi="Arial" w:cs="Arial"/>
            <w:sz w:val="24"/>
            <w:szCs w:val="24"/>
          </w:rPr>
          <w:t>2025)</w:t>
        </w:r>
      </w:hyperlink>
      <w:r w:rsidRPr="00BE538F">
        <w:rPr>
          <w:rFonts w:ascii="Arial" w:hAnsi="Arial" w:cs="Arial"/>
          <w:sz w:val="24"/>
          <w:szCs w:val="24"/>
          <w:lang w:val="fr-FR"/>
        </w:rPr>
        <w:t>.</w:t>
      </w:r>
    </w:p>
    <w:p w14:paraId="20279323" w14:textId="67707F3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lastRenderedPageBreak/>
        <w:t xml:space="preserve">The Northern Ireland Environment Agency (NIEA) and the </w:t>
      </w:r>
      <w:proofErr w:type="spellStart"/>
      <w:r w:rsidRPr="00BE538F">
        <w:rPr>
          <w:rFonts w:ascii="Arial" w:hAnsi="Arial" w:cs="Arial"/>
          <w:sz w:val="24"/>
          <w:szCs w:val="24"/>
        </w:rPr>
        <w:t>DfI</w:t>
      </w:r>
      <w:proofErr w:type="spellEnd"/>
      <w:r w:rsidRPr="00BE538F">
        <w:rPr>
          <w:rFonts w:ascii="Arial" w:hAnsi="Arial" w:cs="Arial"/>
          <w:sz w:val="24"/>
          <w:szCs w:val="24"/>
        </w:rPr>
        <w:t xml:space="preserve"> have also produced extensive guidance for developers and LPAs for visual impact assessments in Northern Ireland specifically related to wind developments</w:t>
      </w:r>
      <w:r w:rsidR="00A276C2" w:rsidRPr="00BE538F">
        <w:rPr>
          <w:rFonts w:ascii="Arial" w:hAnsi="Arial" w:cs="Arial"/>
          <w:sz w:val="24"/>
          <w:szCs w:val="24"/>
        </w:rPr>
        <w:t xml:space="preserve"> </w:t>
      </w:r>
      <w:hyperlink r:id="rId39" w:history="1">
        <w:r w:rsidR="00A276C2" w:rsidRPr="00BE538F">
          <w:rPr>
            <w:rStyle w:val="Hyperlink"/>
            <w:rFonts w:ascii="Arial" w:hAnsi="Arial" w:cs="Arial"/>
            <w:sz w:val="24"/>
            <w:szCs w:val="24"/>
          </w:rPr>
          <w:t>(NIEA, 2010)</w:t>
        </w:r>
      </w:hyperlink>
      <w:r w:rsidRPr="00BE538F">
        <w:rPr>
          <w:rFonts w:ascii="Arial" w:hAnsi="Arial" w:cs="Arial"/>
          <w:sz w:val="24"/>
          <w:szCs w:val="24"/>
        </w:rPr>
        <w:t>.</w:t>
      </w:r>
    </w:p>
    <w:p w14:paraId="294473F1" w14:textId="4AB60888" w:rsidR="00EB3550" w:rsidRPr="00BE538F" w:rsidRDefault="002D3A70" w:rsidP="00BE538F">
      <w:pPr>
        <w:pStyle w:val="Heading1"/>
        <w:spacing w:line="276" w:lineRule="auto"/>
        <w:rPr>
          <w:rFonts w:ascii="Arial" w:hAnsi="Arial" w:cs="Arial"/>
        </w:rPr>
      </w:pPr>
      <w:bookmarkStart w:id="37" w:name="_Toc198879960"/>
      <w:r w:rsidRPr="00BE538F">
        <w:rPr>
          <w:rFonts w:ascii="Arial" w:hAnsi="Arial" w:cs="Arial"/>
        </w:rPr>
        <w:t xml:space="preserve">4. </w:t>
      </w:r>
      <w:bookmarkStart w:id="38" w:name="_Toc188013955"/>
      <w:r w:rsidR="00EB3550" w:rsidRPr="00BE538F">
        <w:rPr>
          <w:rFonts w:ascii="Arial" w:hAnsi="Arial" w:cs="Arial"/>
        </w:rPr>
        <w:t>Offshore wind</w:t>
      </w:r>
      <w:bookmarkEnd w:id="37"/>
      <w:bookmarkEnd w:id="38"/>
    </w:p>
    <w:p w14:paraId="4220B04E"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Offshore wind projects fall under the category of NSIP (or each devolved nation’s equivalent of this) meaning the LPA will be a statutory consultee. The licensing and consents that offshore wind projects require are predominantly the responsibility of the relevant marine licensing authority for the project.  Local authorities may hold responsibility for approving aspects of the associated onshore infrastructure for offshore wind.</w:t>
      </w:r>
    </w:p>
    <w:p w14:paraId="7B186C4F" w14:textId="77777777" w:rsidR="00EB3550" w:rsidRPr="00BE538F" w:rsidRDefault="00EB3550" w:rsidP="00527B0F">
      <w:pPr>
        <w:pStyle w:val="Heading2"/>
        <w:rPr>
          <w:rFonts w:ascii="Arial" w:hAnsi="Arial" w:cs="Arial"/>
        </w:rPr>
      </w:pPr>
      <w:bookmarkStart w:id="39" w:name="_Toc188013956"/>
      <w:bookmarkStart w:id="40" w:name="_Toc198879961"/>
      <w:r w:rsidRPr="00BE538F">
        <w:rPr>
          <w:rFonts w:ascii="Arial" w:hAnsi="Arial" w:cs="Arial"/>
        </w:rPr>
        <w:t>4.1 England</w:t>
      </w:r>
      <w:bookmarkEnd w:id="39"/>
      <w:bookmarkEnd w:id="40"/>
    </w:p>
    <w:p w14:paraId="730019F1"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Our research did not identify any published guidance documents for either developers or LPAs relating to offshore wind.</w:t>
      </w:r>
    </w:p>
    <w:p w14:paraId="65F02D82" w14:textId="77777777" w:rsidR="00EB3550" w:rsidRPr="00BE538F" w:rsidRDefault="00EB3550" w:rsidP="00527B0F">
      <w:pPr>
        <w:pStyle w:val="Heading2"/>
        <w:rPr>
          <w:rFonts w:ascii="Arial" w:hAnsi="Arial" w:cs="Arial"/>
        </w:rPr>
      </w:pPr>
      <w:bookmarkStart w:id="41" w:name="_Toc188013957"/>
      <w:bookmarkStart w:id="42" w:name="_Toc198879962"/>
      <w:r w:rsidRPr="00BE538F">
        <w:rPr>
          <w:rFonts w:ascii="Arial" w:hAnsi="Arial" w:cs="Arial"/>
        </w:rPr>
        <w:t>4.2 Wales</w:t>
      </w:r>
      <w:bookmarkEnd w:id="41"/>
      <w:bookmarkEnd w:id="42"/>
    </w:p>
    <w:p w14:paraId="4A0EB0EA" w14:textId="1042EE71"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NRW has produced guidance for Wales focused on guiding developers through the Environmental Impact Assessment (EIA) process and the required consents for marine works</w:t>
      </w:r>
      <w:r w:rsidR="006E17B8" w:rsidRPr="00BE538F">
        <w:rPr>
          <w:rFonts w:ascii="Arial" w:hAnsi="Arial" w:cs="Arial"/>
          <w:sz w:val="24"/>
          <w:szCs w:val="24"/>
        </w:rPr>
        <w:t xml:space="preserve"> </w:t>
      </w:r>
      <w:hyperlink r:id="rId40" w:history="1">
        <w:r w:rsidR="006E17B8" w:rsidRPr="00BE538F">
          <w:rPr>
            <w:rStyle w:val="Hyperlink"/>
            <w:rFonts w:ascii="Arial" w:hAnsi="Arial" w:cs="Arial"/>
            <w:sz w:val="24"/>
            <w:szCs w:val="24"/>
          </w:rPr>
          <w:t>(Natural Resources Wales, 2025)</w:t>
        </w:r>
      </w:hyperlink>
      <w:r w:rsidRPr="00BE538F">
        <w:rPr>
          <w:rFonts w:ascii="Arial" w:hAnsi="Arial" w:cs="Arial"/>
          <w:sz w:val="24"/>
          <w:szCs w:val="24"/>
        </w:rPr>
        <w:t>.</w:t>
      </w:r>
    </w:p>
    <w:p w14:paraId="30A5CEEF" w14:textId="77777777" w:rsidR="00EB3550" w:rsidRPr="00BE538F" w:rsidRDefault="00EB3550" w:rsidP="00527B0F">
      <w:pPr>
        <w:pStyle w:val="Heading2"/>
        <w:rPr>
          <w:rFonts w:ascii="Arial" w:hAnsi="Arial" w:cs="Arial"/>
        </w:rPr>
      </w:pPr>
      <w:bookmarkStart w:id="43" w:name="_Toc188013958"/>
      <w:bookmarkStart w:id="44" w:name="_Toc198879963"/>
      <w:r w:rsidRPr="00BE538F">
        <w:rPr>
          <w:rFonts w:ascii="Arial" w:hAnsi="Arial" w:cs="Arial"/>
        </w:rPr>
        <w:t>4.3 Scotland</w:t>
      </w:r>
      <w:bookmarkEnd w:id="43"/>
      <w:bookmarkEnd w:id="44"/>
    </w:p>
    <w:p w14:paraId="64007D11" w14:textId="5E1E560B"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The Scottish Government has produced an offshore wind policy statement, though it makes little reference to LPAs or onshore infrastructure planning</w:t>
      </w:r>
      <w:r w:rsidR="006E17B8" w:rsidRPr="00BE538F">
        <w:rPr>
          <w:rFonts w:ascii="Arial" w:hAnsi="Arial" w:cs="Arial"/>
          <w:sz w:val="24"/>
          <w:szCs w:val="24"/>
        </w:rPr>
        <w:t xml:space="preserve"> </w:t>
      </w:r>
      <w:hyperlink r:id="rId41" w:history="1">
        <w:r w:rsidR="006E17B8" w:rsidRPr="00BE538F">
          <w:rPr>
            <w:rStyle w:val="Hyperlink"/>
            <w:rFonts w:ascii="Arial" w:hAnsi="Arial" w:cs="Arial"/>
            <w:sz w:val="24"/>
            <w:szCs w:val="24"/>
          </w:rPr>
          <w:t>(Scottish Government, 2020)</w:t>
        </w:r>
      </w:hyperlink>
      <w:r w:rsidRPr="00BE538F">
        <w:rPr>
          <w:rFonts w:ascii="Arial" w:hAnsi="Arial" w:cs="Arial"/>
          <w:sz w:val="24"/>
          <w:szCs w:val="24"/>
        </w:rPr>
        <w:t>. An offshore consenting and licensing manual published by the Scottish Government states that LPAs will be consulted on marine licenses and onshore components</w:t>
      </w:r>
      <w:r w:rsidR="003B53C5" w:rsidRPr="00BE538F">
        <w:rPr>
          <w:rFonts w:ascii="Arial" w:hAnsi="Arial" w:cs="Arial"/>
          <w:sz w:val="24"/>
          <w:szCs w:val="24"/>
        </w:rPr>
        <w:t xml:space="preserve"> </w:t>
      </w:r>
      <w:hyperlink r:id="rId42" w:history="1">
        <w:r w:rsidR="003B53C5" w:rsidRPr="00BE538F">
          <w:rPr>
            <w:rStyle w:val="Hyperlink"/>
            <w:rFonts w:ascii="Arial" w:hAnsi="Arial" w:cs="Arial"/>
            <w:sz w:val="24"/>
            <w:szCs w:val="24"/>
          </w:rPr>
          <w:t>(</w:t>
        </w:r>
        <w:r w:rsidR="005C0BE8" w:rsidRPr="00BE538F">
          <w:rPr>
            <w:rStyle w:val="Hyperlink"/>
            <w:rFonts w:ascii="Arial" w:hAnsi="Arial" w:cs="Arial"/>
            <w:sz w:val="24"/>
            <w:szCs w:val="24"/>
          </w:rPr>
          <w:t>Scottish Government, 2018)</w:t>
        </w:r>
      </w:hyperlink>
      <w:r w:rsidRPr="00BE538F">
        <w:rPr>
          <w:rFonts w:ascii="Arial" w:hAnsi="Arial" w:cs="Arial"/>
          <w:sz w:val="24"/>
          <w:szCs w:val="24"/>
        </w:rPr>
        <w:t>.</w:t>
      </w:r>
    </w:p>
    <w:p w14:paraId="01CAD1A4" w14:textId="77777777" w:rsidR="00EB3550" w:rsidRPr="00BE538F" w:rsidRDefault="00EB3550" w:rsidP="00527B0F">
      <w:pPr>
        <w:pStyle w:val="Heading2"/>
        <w:rPr>
          <w:rFonts w:ascii="Arial" w:hAnsi="Arial" w:cs="Arial"/>
        </w:rPr>
      </w:pPr>
      <w:bookmarkStart w:id="45" w:name="_Toc188013959"/>
      <w:bookmarkStart w:id="46" w:name="_Toc198879964"/>
      <w:r w:rsidRPr="00BE538F">
        <w:rPr>
          <w:rFonts w:ascii="Arial" w:hAnsi="Arial" w:cs="Arial"/>
        </w:rPr>
        <w:t>4.4 Northern Ireland</w:t>
      </w:r>
      <w:bookmarkEnd w:id="45"/>
      <w:bookmarkEnd w:id="46"/>
    </w:p>
    <w:p w14:paraId="5CD93999" w14:textId="10601769" w:rsidR="00EB3550" w:rsidRPr="00BE538F" w:rsidRDefault="00EB3550" w:rsidP="00BE538F">
      <w:pPr>
        <w:spacing w:line="360" w:lineRule="auto"/>
        <w:rPr>
          <w:rFonts w:ascii="Arial" w:hAnsi="Arial" w:cs="Arial"/>
        </w:rPr>
      </w:pPr>
      <w:r w:rsidRPr="00BE538F">
        <w:rPr>
          <w:rFonts w:ascii="Arial" w:hAnsi="Arial" w:cs="Arial"/>
          <w:sz w:val="24"/>
          <w:szCs w:val="24"/>
        </w:rPr>
        <w:t>Northern Ireland has no offshore wind projects to date, though a draft offshore renewable energy action plan underwent consultation in early 2023</w:t>
      </w:r>
      <w:r w:rsidR="008C643A" w:rsidRPr="00BE538F">
        <w:rPr>
          <w:rFonts w:ascii="Arial" w:hAnsi="Arial" w:cs="Arial"/>
          <w:sz w:val="24"/>
          <w:szCs w:val="24"/>
        </w:rPr>
        <w:t xml:space="preserve"> </w:t>
      </w:r>
      <w:hyperlink r:id="rId43" w:history="1">
        <w:r w:rsidR="008C643A" w:rsidRPr="00BE538F">
          <w:rPr>
            <w:rStyle w:val="Hyperlink"/>
            <w:rFonts w:ascii="Arial" w:hAnsi="Arial" w:cs="Arial"/>
            <w:sz w:val="24"/>
            <w:szCs w:val="24"/>
          </w:rPr>
          <w:t>(Department for the Economy, 2023)</w:t>
        </w:r>
      </w:hyperlink>
      <w:r w:rsidRPr="00BE538F">
        <w:rPr>
          <w:rFonts w:ascii="Arial" w:hAnsi="Arial" w:cs="Arial"/>
          <w:sz w:val="24"/>
          <w:szCs w:val="24"/>
        </w:rPr>
        <w:t>.</w:t>
      </w:r>
    </w:p>
    <w:p w14:paraId="6C4F2B60" w14:textId="5AA66477" w:rsidR="00C60859" w:rsidRPr="00BE538F" w:rsidRDefault="00C60859" w:rsidP="00BE538F">
      <w:pPr>
        <w:pStyle w:val="Heading2"/>
        <w:rPr>
          <w:rFonts w:ascii="Arial" w:hAnsi="Arial" w:cs="Arial"/>
        </w:rPr>
      </w:pPr>
      <w:bookmarkStart w:id="47" w:name="_Toc198879965"/>
      <w:r w:rsidRPr="00BE538F">
        <w:rPr>
          <w:rFonts w:ascii="Arial" w:hAnsi="Arial" w:cs="Arial"/>
        </w:rPr>
        <w:lastRenderedPageBreak/>
        <w:t xml:space="preserve">4.5 </w:t>
      </w:r>
      <w:r w:rsidR="0011534D" w:rsidRPr="00BE538F">
        <w:rPr>
          <w:rFonts w:ascii="Arial" w:hAnsi="Arial" w:cs="Arial"/>
        </w:rPr>
        <w:t>O</w:t>
      </w:r>
      <w:r w:rsidRPr="00BE538F">
        <w:rPr>
          <w:rFonts w:ascii="Arial" w:hAnsi="Arial" w:cs="Arial"/>
        </w:rPr>
        <w:t>ffshore wind case studies</w:t>
      </w:r>
      <w:bookmarkEnd w:id="47"/>
    </w:p>
    <w:p w14:paraId="1C6BA97D" w14:textId="4A45A8D1" w:rsidR="0011534D" w:rsidRPr="00BE538F" w:rsidRDefault="00EB3550" w:rsidP="00BE538F">
      <w:pPr>
        <w:spacing w:line="360" w:lineRule="auto"/>
        <w:rPr>
          <w:rFonts w:ascii="Arial" w:hAnsi="Arial" w:cs="Arial"/>
          <w:sz w:val="24"/>
          <w:szCs w:val="24"/>
        </w:rPr>
      </w:pPr>
      <w:r w:rsidRPr="00BE538F">
        <w:rPr>
          <w:rFonts w:ascii="Arial" w:hAnsi="Arial" w:cs="Arial"/>
          <w:sz w:val="24"/>
          <w:szCs w:val="24"/>
        </w:rPr>
        <w:t>Relevant case studies that may prove useful as examples of planning applications for offshore wind include</w:t>
      </w:r>
      <w:r w:rsidR="0011534D" w:rsidRPr="00BE538F">
        <w:rPr>
          <w:rFonts w:ascii="Arial" w:hAnsi="Arial" w:cs="Arial"/>
          <w:sz w:val="24"/>
          <w:szCs w:val="24"/>
        </w:rPr>
        <w:t>:</w:t>
      </w:r>
    </w:p>
    <w:p w14:paraId="252071D2" w14:textId="352A0CE1" w:rsidR="0011534D" w:rsidRPr="00BE538F" w:rsidRDefault="00EB3550" w:rsidP="00BE538F">
      <w:pPr>
        <w:pStyle w:val="ListParagraph"/>
        <w:numPr>
          <w:ilvl w:val="0"/>
          <w:numId w:val="18"/>
        </w:numPr>
        <w:spacing w:line="360" w:lineRule="auto"/>
        <w:rPr>
          <w:rFonts w:ascii="Arial" w:hAnsi="Arial" w:cs="Arial"/>
          <w:sz w:val="24"/>
          <w:szCs w:val="24"/>
        </w:rPr>
      </w:pPr>
      <w:r w:rsidRPr="00BE538F">
        <w:rPr>
          <w:rFonts w:ascii="Arial" w:hAnsi="Arial" w:cs="Arial"/>
          <w:b/>
          <w:bCs/>
          <w:sz w:val="24"/>
          <w:szCs w:val="24"/>
        </w:rPr>
        <w:t>England</w:t>
      </w:r>
      <w:r w:rsidR="0011534D" w:rsidRPr="00BE538F">
        <w:rPr>
          <w:rFonts w:ascii="Arial" w:hAnsi="Arial" w:cs="Arial"/>
          <w:b/>
          <w:bCs/>
          <w:sz w:val="24"/>
          <w:szCs w:val="24"/>
        </w:rPr>
        <w:t>:</w:t>
      </w:r>
      <w:r w:rsidR="006F3F17" w:rsidRPr="00BE538F">
        <w:rPr>
          <w:rFonts w:ascii="Arial" w:hAnsi="Arial" w:cs="Arial"/>
          <w:b/>
          <w:bCs/>
          <w:sz w:val="24"/>
          <w:szCs w:val="24"/>
        </w:rPr>
        <w:t xml:space="preserve"> </w:t>
      </w:r>
      <w:r w:rsidRPr="00BE538F">
        <w:rPr>
          <w:rFonts w:ascii="Arial" w:hAnsi="Arial" w:cs="Arial"/>
          <w:sz w:val="24"/>
          <w:szCs w:val="24"/>
        </w:rPr>
        <w:t>The Dogger Bank South wind farm off Yorkshire</w:t>
      </w:r>
      <w:r w:rsidR="00F13FC9" w:rsidRPr="00BE538F">
        <w:rPr>
          <w:rFonts w:ascii="Arial" w:hAnsi="Arial" w:cs="Arial"/>
          <w:sz w:val="24"/>
          <w:szCs w:val="24"/>
        </w:rPr>
        <w:t xml:space="preserve"> </w:t>
      </w:r>
      <w:hyperlink r:id="rId44" w:history="1">
        <w:r w:rsidR="00F13FC9" w:rsidRPr="00BE538F">
          <w:rPr>
            <w:rStyle w:val="Hyperlink"/>
            <w:rFonts w:ascii="Arial" w:hAnsi="Arial" w:cs="Arial"/>
            <w:sz w:val="24"/>
            <w:szCs w:val="24"/>
          </w:rPr>
          <w:t xml:space="preserve">(RWE &amp; </w:t>
        </w:r>
        <w:proofErr w:type="spellStart"/>
        <w:r w:rsidR="00F13FC9" w:rsidRPr="00BE538F">
          <w:rPr>
            <w:rStyle w:val="Hyperlink"/>
            <w:rFonts w:ascii="Arial" w:hAnsi="Arial" w:cs="Arial"/>
            <w:sz w:val="24"/>
            <w:szCs w:val="24"/>
          </w:rPr>
          <w:t>Masddar</w:t>
        </w:r>
        <w:proofErr w:type="spellEnd"/>
        <w:r w:rsidR="00F13FC9" w:rsidRPr="00BE538F">
          <w:rPr>
            <w:rStyle w:val="Hyperlink"/>
            <w:rFonts w:ascii="Arial" w:hAnsi="Arial" w:cs="Arial"/>
            <w:sz w:val="24"/>
            <w:szCs w:val="24"/>
          </w:rPr>
          <w:t>, 2024)</w:t>
        </w:r>
      </w:hyperlink>
    </w:p>
    <w:p w14:paraId="50ED80EF" w14:textId="22C438F8" w:rsidR="0011534D" w:rsidRPr="00BE538F" w:rsidRDefault="006F3F17" w:rsidP="00BE538F">
      <w:pPr>
        <w:pStyle w:val="ListParagraph"/>
        <w:numPr>
          <w:ilvl w:val="0"/>
          <w:numId w:val="18"/>
        </w:numPr>
        <w:spacing w:line="360" w:lineRule="auto"/>
        <w:rPr>
          <w:rFonts w:ascii="Arial" w:hAnsi="Arial" w:cs="Arial"/>
          <w:sz w:val="24"/>
          <w:szCs w:val="24"/>
        </w:rPr>
      </w:pPr>
      <w:r w:rsidRPr="00BE538F">
        <w:rPr>
          <w:rFonts w:ascii="Arial" w:hAnsi="Arial" w:cs="Arial"/>
          <w:b/>
          <w:bCs/>
          <w:sz w:val="24"/>
          <w:szCs w:val="24"/>
        </w:rPr>
        <w:t>Wales</w:t>
      </w:r>
      <w:r w:rsidR="0011534D" w:rsidRPr="00BE538F">
        <w:rPr>
          <w:rFonts w:ascii="Arial" w:hAnsi="Arial" w:cs="Arial"/>
          <w:b/>
          <w:bCs/>
          <w:sz w:val="24"/>
          <w:szCs w:val="24"/>
        </w:rPr>
        <w:t>:</w:t>
      </w:r>
      <w:r w:rsidRPr="00BE538F">
        <w:rPr>
          <w:rFonts w:ascii="Arial" w:hAnsi="Arial" w:cs="Arial"/>
          <w:b/>
          <w:bCs/>
          <w:sz w:val="24"/>
          <w:szCs w:val="24"/>
        </w:rPr>
        <w:t xml:space="preserve"> </w:t>
      </w:r>
      <w:proofErr w:type="spellStart"/>
      <w:r w:rsidR="00EB3550" w:rsidRPr="00BE538F">
        <w:rPr>
          <w:rFonts w:ascii="Arial" w:hAnsi="Arial" w:cs="Arial"/>
          <w:sz w:val="24"/>
          <w:szCs w:val="24"/>
        </w:rPr>
        <w:t>Gwynt</w:t>
      </w:r>
      <w:proofErr w:type="spellEnd"/>
      <w:r w:rsidR="00EB3550" w:rsidRPr="00BE538F">
        <w:rPr>
          <w:rFonts w:ascii="Arial" w:hAnsi="Arial" w:cs="Arial"/>
          <w:sz w:val="24"/>
          <w:szCs w:val="24"/>
        </w:rPr>
        <w:t xml:space="preserve"> y </w:t>
      </w:r>
      <w:proofErr w:type="spellStart"/>
      <w:r w:rsidR="00EB3550" w:rsidRPr="00BE538F">
        <w:rPr>
          <w:rFonts w:ascii="Arial" w:hAnsi="Arial" w:cs="Arial"/>
          <w:sz w:val="24"/>
          <w:szCs w:val="24"/>
        </w:rPr>
        <w:t>Môr</w:t>
      </w:r>
      <w:proofErr w:type="spellEnd"/>
      <w:r w:rsidR="00EB3550" w:rsidRPr="00BE538F">
        <w:rPr>
          <w:rFonts w:ascii="Arial" w:hAnsi="Arial" w:cs="Arial"/>
          <w:sz w:val="24"/>
          <w:szCs w:val="24"/>
        </w:rPr>
        <w:t xml:space="preserve"> off Denbighshire</w:t>
      </w:r>
      <w:r w:rsidR="00257213" w:rsidRPr="00BE538F">
        <w:rPr>
          <w:rFonts w:ascii="Arial" w:hAnsi="Arial" w:cs="Arial"/>
          <w:sz w:val="24"/>
          <w:szCs w:val="24"/>
        </w:rPr>
        <w:t xml:space="preserve"> </w:t>
      </w:r>
      <w:hyperlink r:id="rId45" w:history="1">
        <w:r w:rsidR="00257213" w:rsidRPr="00BE538F">
          <w:rPr>
            <w:rStyle w:val="Hyperlink"/>
            <w:rFonts w:ascii="Arial" w:hAnsi="Arial" w:cs="Arial"/>
            <w:sz w:val="24"/>
            <w:szCs w:val="24"/>
          </w:rPr>
          <w:t>(Tethys, 2005)</w:t>
        </w:r>
      </w:hyperlink>
      <w:r w:rsidRPr="00BE538F">
        <w:rPr>
          <w:rFonts w:ascii="Arial" w:hAnsi="Arial" w:cs="Arial"/>
          <w:sz w:val="24"/>
          <w:szCs w:val="24"/>
        </w:rPr>
        <w:t xml:space="preserve"> and </w:t>
      </w:r>
      <w:proofErr w:type="spellStart"/>
      <w:r w:rsidR="00EB3550" w:rsidRPr="00BE538F">
        <w:rPr>
          <w:rFonts w:ascii="Arial" w:hAnsi="Arial" w:cs="Arial"/>
          <w:sz w:val="24"/>
          <w:szCs w:val="24"/>
        </w:rPr>
        <w:t>Awel</w:t>
      </w:r>
      <w:proofErr w:type="spellEnd"/>
      <w:r w:rsidR="00EB3550" w:rsidRPr="00BE538F">
        <w:rPr>
          <w:rFonts w:ascii="Arial" w:hAnsi="Arial" w:cs="Arial"/>
          <w:sz w:val="24"/>
          <w:szCs w:val="24"/>
        </w:rPr>
        <w:t xml:space="preserve"> y </w:t>
      </w:r>
      <w:proofErr w:type="spellStart"/>
      <w:r w:rsidR="00EB3550" w:rsidRPr="00BE538F">
        <w:rPr>
          <w:rFonts w:ascii="Arial" w:hAnsi="Arial" w:cs="Arial"/>
          <w:sz w:val="24"/>
          <w:szCs w:val="24"/>
        </w:rPr>
        <w:t>Môr</w:t>
      </w:r>
      <w:proofErr w:type="spellEnd"/>
      <w:r w:rsidR="00EB3550" w:rsidRPr="00BE538F">
        <w:rPr>
          <w:rFonts w:ascii="Arial" w:hAnsi="Arial" w:cs="Arial"/>
          <w:sz w:val="24"/>
          <w:szCs w:val="24"/>
        </w:rPr>
        <w:t xml:space="preserve"> off Denbighshire</w:t>
      </w:r>
      <w:r w:rsidR="00123859" w:rsidRPr="00BE538F">
        <w:rPr>
          <w:rFonts w:ascii="Arial" w:hAnsi="Arial" w:cs="Arial"/>
          <w:sz w:val="24"/>
          <w:szCs w:val="24"/>
        </w:rPr>
        <w:t xml:space="preserve"> </w:t>
      </w:r>
      <w:hyperlink r:id="rId46" w:history="1">
        <w:r w:rsidR="00123859" w:rsidRPr="00BE538F">
          <w:rPr>
            <w:rStyle w:val="Hyperlink"/>
            <w:rFonts w:ascii="Arial" w:hAnsi="Arial" w:cs="Arial"/>
            <w:sz w:val="24"/>
            <w:szCs w:val="24"/>
          </w:rPr>
          <w:t>(DESNZ, 2023)</w:t>
        </w:r>
      </w:hyperlink>
    </w:p>
    <w:p w14:paraId="062B2DC4" w14:textId="543D8027" w:rsidR="00EB3550" w:rsidRPr="00BE538F" w:rsidRDefault="006F3F17" w:rsidP="00BE538F">
      <w:pPr>
        <w:pStyle w:val="ListParagraph"/>
        <w:numPr>
          <w:ilvl w:val="0"/>
          <w:numId w:val="18"/>
        </w:numPr>
        <w:spacing w:line="360" w:lineRule="auto"/>
        <w:rPr>
          <w:rFonts w:ascii="Arial" w:hAnsi="Arial" w:cs="Arial"/>
          <w:sz w:val="24"/>
          <w:szCs w:val="24"/>
        </w:rPr>
      </w:pPr>
      <w:r w:rsidRPr="00BE538F">
        <w:rPr>
          <w:rFonts w:ascii="Arial" w:hAnsi="Arial" w:cs="Arial"/>
          <w:b/>
          <w:bCs/>
          <w:sz w:val="24"/>
          <w:szCs w:val="24"/>
        </w:rPr>
        <w:t>Scotland</w:t>
      </w:r>
      <w:r w:rsidR="0011534D" w:rsidRPr="00BE538F">
        <w:rPr>
          <w:rFonts w:ascii="Arial" w:hAnsi="Arial" w:cs="Arial"/>
          <w:b/>
          <w:bCs/>
          <w:sz w:val="24"/>
          <w:szCs w:val="24"/>
        </w:rPr>
        <w:t>:</w:t>
      </w:r>
      <w:r w:rsidRPr="00BE538F">
        <w:rPr>
          <w:rFonts w:ascii="Arial" w:hAnsi="Arial" w:cs="Arial"/>
          <w:sz w:val="24"/>
          <w:szCs w:val="24"/>
        </w:rPr>
        <w:t xml:space="preserve"> </w:t>
      </w:r>
      <w:proofErr w:type="spellStart"/>
      <w:r w:rsidR="00EB3550" w:rsidRPr="00BE538F">
        <w:rPr>
          <w:rFonts w:ascii="Arial" w:hAnsi="Arial" w:cs="Arial"/>
          <w:sz w:val="24"/>
          <w:szCs w:val="24"/>
        </w:rPr>
        <w:t>Seagreen</w:t>
      </w:r>
      <w:proofErr w:type="spellEnd"/>
      <w:r w:rsidR="00EB3550" w:rsidRPr="00BE538F">
        <w:rPr>
          <w:rFonts w:ascii="Arial" w:hAnsi="Arial" w:cs="Arial"/>
          <w:sz w:val="24"/>
          <w:szCs w:val="24"/>
        </w:rPr>
        <w:t xml:space="preserve"> in East Lothian</w:t>
      </w:r>
      <w:r w:rsidR="00123859" w:rsidRPr="00BE538F">
        <w:rPr>
          <w:rFonts w:ascii="Arial" w:hAnsi="Arial" w:cs="Arial"/>
          <w:sz w:val="24"/>
          <w:szCs w:val="24"/>
        </w:rPr>
        <w:t xml:space="preserve"> </w:t>
      </w:r>
      <w:hyperlink r:id="rId47" w:history="1">
        <w:r w:rsidR="00123859" w:rsidRPr="00BE538F">
          <w:rPr>
            <w:rStyle w:val="Hyperlink"/>
            <w:rFonts w:ascii="Arial" w:hAnsi="Arial" w:cs="Arial"/>
            <w:sz w:val="24"/>
            <w:szCs w:val="24"/>
          </w:rPr>
          <w:t>(East Lothian Council,</w:t>
        </w:r>
        <w:r w:rsidR="00F51E0B" w:rsidRPr="00BE538F">
          <w:rPr>
            <w:rStyle w:val="Hyperlink"/>
            <w:rFonts w:ascii="Arial" w:hAnsi="Arial" w:cs="Arial"/>
            <w:sz w:val="24"/>
            <w:szCs w:val="24"/>
          </w:rPr>
          <w:t xml:space="preserve"> 2023)</w:t>
        </w:r>
      </w:hyperlink>
      <w:r w:rsidRPr="00BE538F">
        <w:rPr>
          <w:rFonts w:ascii="Arial" w:hAnsi="Arial" w:cs="Arial"/>
          <w:sz w:val="24"/>
          <w:szCs w:val="24"/>
        </w:rPr>
        <w:t>.</w:t>
      </w:r>
    </w:p>
    <w:p w14:paraId="418769F5" w14:textId="698D6304" w:rsidR="00EB3550" w:rsidRPr="00BE538F" w:rsidRDefault="002D3A70" w:rsidP="00BE538F">
      <w:pPr>
        <w:pStyle w:val="Heading1"/>
        <w:spacing w:line="276" w:lineRule="auto"/>
        <w:rPr>
          <w:rFonts w:ascii="Arial" w:hAnsi="Arial" w:cs="Arial"/>
        </w:rPr>
      </w:pPr>
      <w:bookmarkStart w:id="48" w:name="_Toc188013960"/>
      <w:bookmarkStart w:id="49" w:name="_Toc198879966"/>
      <w:r w:rsidRPr="00BE538F">
        <w:rPr>
          <w:rFonts w:ascii="Arial" w:hAnsi="Arial" w:cs="Arial"/>
        </w:rPr>
        <w:t xml:space="preserve">5. </w:t>
      </w:r>
      <w:r w:rsidR="00EB3550" w:rsidRPr="00BE538F">
        <w:rPr>
          <w:rFonts w:ascii="Arial" w:hAnsi="Arial" w:cs="Arial"/>
        </w:rPr>
        <w:t>Solar photovoltaics</w:t>
      </w:r>
      <w:bookmarkEnd w:id="48"/>
      <w:bookmarkEnd w:id="49"/>
    </w:p>
    <w:p w14:paraId="02F8A6DC" w14:textId="77777777" w:rsidR="00EB3550" w:rsidRPr="00BE538F" w:rsidRDefault="00EB3550" w:rsidP="00527B0F">
      <w:pPr>
        <w:pStyle w:val="Heading2"/>
        <w:rPr>
          <w:rFonts w:ascii="Arial" w:hAnsi="Arial" w:cs="Arial"/>
        </w:rPr>
      </w:pPr>
      <w:bookmarkStart w:id="50" w:name="_Toc188013961"/>
      <w:bookmarkStart w:id="51" w:name="_Toc198879967"/>
      <w:r w:rsidRPr="00BE538F">
        <w:rPr>
          <w:rFonts w:ascii="Arial" w:hAnsi="Arial" w:cs="Arial"/>
        </w:rPr>
        <w:t>5.1 England</w:t>
      </w:r>
      <w:bookmarkEnd w:id="50"/>
      <w:bookmarkEnd w:id="51"/>
    </w:p>
    <w:p w14:paraId="18260B02" w14:textId="77777777" w:rsidR="00EB3550" w:rsidRPr="00BE538F" w:rsidRDefault="00EB3550" w:rsidP="00BE538F">
      <w:pPr>
        <w:spacing w:line="360" w:lineRule="auto"/>
        <w:rPr>
          <w:rFonts w:ascii="Arial" w:hAnsi="Arial" w:cs="Arial"/>
          <w:sz w:val="24"/>
          <w:szCs w:val="24"/>
          <w:highlight w:val="yellow"/>
        </w:rPr>
      </w:pPr>
      <w:r w:rsidRPr="00BE538F">
        <w:rPr>
          <w:rFonts w:ascii="Arial" w:hAnsi="Arial" w:cs="Arial"/>
          <w:sz w:val="24"/>
          <w:szCs w:val="24"/>
        </w:rPr>
        <w:t>In December 2024, the UK government published updates to the NPPF confirming that the threshold over which solar projects are considered NSIPs will move from 50 MW to 100 MW.  This means that planning permission for projects under 100 MW will be decided by the relevant LPA.</w:t>
      </w:r>
    </w:p>
    <w:p w14:paraId="06811157" w14:textId="0E955894"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The UK government’s renewable and low-carbon energy guidance states that in considering large-scale ground-mounted solar, LPAs should consider the following</w:t>
      </w:r>
      <w:r w:rsidR="00F51E0B" w:rsidRPr="00BE538F">
        <w:rPr>
          <w:rFonts w:ascii="Arial" w:hAnsi="Arial" w:cs="Arial"/>
          <w:sz w:val="24"/>
          <w:szCs w:val="24"/>
        </w:rPr>
        <w:t xml:space="preserve"> </w:t>
      </w:r>
      <w:hyperlink r:id="rId48" w:history="1">
        <w:r w:rsidR="00F51E0B" w:rsidRPr="00BE538F">
          <w:rPr>
            <w:rStyle w:val="Hyperlink"/>
            <w:rFonts w:ascii="Arial" w:hAnsi="Arial" w:cs="Arial"/>
            <w:sz w:val="24"/>
            <w:szCs w:val="24"/>
          </w:rPr>
          <w:t>(Natural England, 2021)</w:t>
        </w:r>
      </w:hyperlink>
      <w:r w:rsidRPr="00BE538F">
        <w:rPr>
          <w:rFonts w:ascii="Arial" w:hAnsi="Arial" w:cs="Arial"/>
          <w:sz w:val="24"/>
          <w:szCs w:val="24"/>
        </w:rPr>
        <w:t>:</w:t>
      </w:r>
    </w:p>
    <w:p w14:paraId="2082F745" w14:textId="35CEBB0F" w:rsidR="00EB3550" w:rsidRPr="00BE538F" w:rsidRDefault="00EB3550" w:rsidP="00BE538F">
      <w:pPr>
        <w:pStyle w:val="ListParagraph"/>
        <w:numPr>
          <w:ilvl w:val="0"/>
          <w:numId w:val="21"/>
        </w:numPr>
        <w:spacing w:after="200" w:line="360" w:lineRule="auto"/>
        <w:rPr>
          <w:rFonts w:ascii="Arial" w:hAnsi="Arial" w:cs="Arial"/>
          <w:sz w:val="24"/>
          <w:szCs w:val="24"/>
        </w:rPr>
      </w:pPr>
      <w:r w:rsidRPr="00BE538F">
        <w:rPr>
          <w:rFonts w:ascii="Arial" w:hAnsi="Arial" w:cs="Arial"/>
          <w:sz w:val="24"/>
          <w:szCs w:val="24"/>
        </w:rPr>
        <w:t>Solar farms should use previously developed, non-agricultural land where possible</w:t>
      </w:r>
      <w:r w:rsidR="00F51E0B" w:rsidRPr="00BE538F">
        <w:rPr>
          <w:rFonts w:ascii="Arial" w:hAnsi="Arial" w:cs="Arial"/>
          <w:sz w:val="24"/>
          <w:szCs w:val="24"/>
        </w:rPr>
        <w:t>;</w:t>
      </w:r>
    </w:p>
    <w:p w14:paraId="5B54E28A" w14:textId="01ABDF0B" w:rsidR="00EB3550" w:rsidRPr="00BE538F" w:rsidRDefault="00EB3550" w:rsidP="00BE538F">
      <w:pPr>
        <w:pStyle w:val="ListParagraph"/>
        <w:numPr>
          <w:ilvl w:val="0"/>
          <w:numId w:val="21"/>
        </w:numPr>
        <w:spacing w:after="200" w:line="360" w:lineRule="auto"/>
        <w:rPr>
          <w:rFonts w:ascii="Arial" w:hAnsi="Arial" w:cs="Arial"/>
          <w:sz w:val="24"/>
          <w:szCs w:val="24"/>
        </w:rPr>
      </w:pPr>
      <w:r w:rsidRPr="00BE538F">
        <w:rPr>
          <w:rFonts w:ascii="Arial" w:hAnsi="Arial" w:cs="Arial"/>
          <w:sz w:val="24"/>
          <w:szCs w:val="24"/>
        </w:rPr>
        <w:t>Greenfield land should be shown to be necessary, with poorer quality land given preference (see advice from Natural England on land grading)</w:t>
      </w:r>
      <w:r w:rsidR="00F51E0B" w:rsidRPr="00BE538F">
        <w:rPr>
          <w:rFonts w:ascii="Arial" w:hAnsi="Arial" w:cs="Arial"/>
          <w:sz w:val="24"/>
          <w:szCs w:val="24"/>
        </w:rPr>
        <w:t>;</w:t>
      </w:r>
    </w:p>
    <w:p w14:paraId="6283A51E" w14:textId="68753541" w:rsidR="00EB3550" w:rsidRPr="00BE538F" w:rsidRDefault="00EB3550" w:rsidP="00BE538F">
      <w:pPr>
        <w:pStyle w:val="ListParagraph"/>
        <w:numPr>
          <w:ilvl w:val="0"/>
          <w:numId w:val="21"/>
        </w:numPr>
        <w:spacing w:after="200" w:line="360" w:lineRule="auto"/>
        <w:rPr>
          <w:rFonts w:ascii="Arial" w:hAnsi="Arial" w:cs="Arial"/>
          <w:sz w:val="24"/>
          <w:szCs w:val="24"/>
        </w:rPr>
      </w:pPr>
      <w:r w:rsidRPr="00BE538F">
        <w:rPr>
          <w:rFonts w:ascii="Arial" w:hAnsi="Arial" w:cs="Arial"/>
          <w:sz w:val="24"/>
          <w:szCs w:val="24"/>
        </w:rPr>
        <w:t>If applicable, proposals should allow for continued agricultural use and/or encourage biodiversity improvement around arrays</w:t>
      </w:r>
      <w:r w:rsidR="00F51E0B" w:rsidRPr="00BE538F">
        <w:rPr>
          <w:rFonts w:ascii="Arial" w:hAnsi="Arial" w:cs="Arial"/>
          <w:sz w:val="24"/>
          <w:szCs w:val="24"/>
        </w:rPr>
        <w:t>;</w:t>
      </w:r>
    </w:p>
    <w:p w14:paraId="6F6259B2" w14:textId="1B2A7CE7" w:rsidR="00EB3550" w:rsidRPr="00BE538F" w:rsidRDefault="00EB3550" w:rsidP="00BE538F">
      <w:pPr>
        <w:pStyle w:val="ListParagraph"/>
        <w:numPr>
          <w:ilvl w:val="0"/>
          <w:numId w:val="21"/>
        </w:numPr>
        <w:spacing w:after="200" w:line="360" w:lineRule="auto"/>
        <w:rPr>
          <w:rFonts w:ascii="Arial" w:hAnsi="Arial" w:cs="Arial"/>
          <w:sz w:val="24"/>
          <w:szCs w:val="24"/>
        </w:rPr>
      </w:pPr>
      <w:r w:rsidRPr="00BE538F">
        <w:rPr>
          <w:rFonts w:ascii="Arial" w:hAnsi="Arial" w:cs="Arial"/>
          <w:sz w:val="24"/>
          <w:szCs w:val="24"/>
        </w:rPr>
        <w:t>Planning conditions should ensure installations are removed and land is restored when the solar farm is no longer in use</w:t>
      </w:r>
      <w:r w:rsidR="00F51E0B" w:rsidRPr="00BE538F">
        <w:rPr>
          <w:rFonts w:ascii="Arial" w:hAnsi="Arial" w:cs="Arial"/>
          <w:sz w:val="24"/>
          <w:szCs w:val="24"/>
        </w:rPr>
        <w:t>;</w:t>
      </w:r>
    </w:p>
    <w:p w14:paraId="2B17EDCA" w14:textId="3B159687" w:rsidR="00EB3550" w:rsidRPr="00BE538F" w:rsidRDefault="00EB3550" w:rsidP="00BE538F">
      <w:pPr>
        <w:pStyle w:val="ListParagraph"/>
        <w:numPr>
          <w:ilvl w:val="0"/>
          <w:numId w:val="21"/>
        </w:numPr>
        <w:spacing w:after="200" w:line="360" w:lineRule="auto"/>
        <w:rPr>
          <w:rFonts w:ascii="Arial" w:hAnsi="Arial" w:cs="Arial"/>
          <w:sz w:val="24"/>
          <w:szCs w:val="24"/>
        </w:rPr>
      </w:pPr>
      <w:r w:rsidRPr="00BE538F">
        <w:rPr>
          <w:rFonts w:ascii="Arial" w:hAnsi="Arial" w:cs="Arial"/>
          <w:sz w:val="24"/>
          <w:szCs w:val="24"/>
        </w:rPr>
        <w:t>The effect on landscape, neighbours and aviation of glint/glare</w:t>
      </w:r>
      <w:r w:rsidR="00F51E0B" w:rsidRPr="00BE538F">
        <w:rPr>
          <w:rFonts w:ascii="Arial" w:hAnsi="Arial" w:cs="Arial"/>
          <w:sz w:val="24"/>
          <w:szCs w:val="24"/>
        </w:rPr>
        <w:t>;</w:t>
      </w:r>
    </w:p>
    <w:p w14:paraId="500A160E" w14:textId="6496F7BC" w:rsidR="00EB3550" w:rsidRPr="00BE538F" w:rsidRDefault="00EB3550" w:rsidP="00BE538F">
      <w:pPr>
        <w:pStyle w:val="ListParagraph"/>
        <w:numPr>
          <w:ilvl w:val="0"/>
          <w:numId w:val="21"/>
        </w:numPr>
        <w:spacing w:after="200" w:line="360" w:lineRule="auto"/>
        <w:rPr>
          <w:rFonts w:ascii="Arial" w:hAnsi="Arial" w:cs="Arial"/>
          <w:sz w:val="24"/>
          <w:szCs w:val="24"/>
        </w:rPr>
      </w:pPr>
      <w:r w:rsidRPr="00BE538F">
        <w:rPr>
          <w:rFonts w:ascii="Arial" w:hAnsi="Arial" w:cs="Arial"/>
          <w:sz w:val="24"/>
          <w:szCs w:val="24"/>
        </w:rPr>
        <w:t>The extent to which there may be additional impacts if solar arrays follow the daily movement of the sun</w:t>
      </w:r>
      <w:r w:rsidR="00F51E0B" w:rsidRPr="00BE538F">
        <w:rPr>
          <w:rFonts w:ascii="Arial" w:hAnsi="Arial" w:cs="Arial"/>
          <w:sz w:val="24"/>
          <w:szCs w:val="24"/>
        </w:rPr>
        <w:t>;</w:t>
      </w:r>
    </w:p>
    <w:p w14:paraId="2DFCEF5A" w14:textId="229D33C0" w:rsidR="00EB3550" w:rsidRPr="00BE538F" w:rsidRDefault="00EB3550" w:rsidP="00BE538F">
      <w:pPr>
        <w:pStyle w:val="ListParagraph"/>
        <w:numPr>
          <w:ilvl w:val="0"/>
          <w:numId w:val="21"/>
        </w:numPr>
        <w:spacing w:after="200" w:line="360" w:lineRule="auto"/>
        <w:rPr>
          <w:rFonts w:ascii="Arial" w:hAnsi="Arial" w:cs="Arial"/>
          <w:sz w:val="24"/>
          <w:szCs w:val="24"/>
        </w:rPr>
      </w:pPr>
      <w:r w:rsidRPr="00BE538F">
        <w:rPr>
          <w:rFonts w:ascii="Arial" w:hAnsi="Arial" w:cs="Arial"/>
          <w:sz w:val="24"/>
          <w:szCs w:val="24"/>
        </w:rPr>
        <w:t>The need for and impact of security measures such as lights and fencing</w:t>
      </w:r>
      <w:r w:rsidR="00F51E0B" w:rsidRPr="00BE538F">
        <w:rPr>
          <w:rFonts w:ascii="Arial" w:hAnsi="Arial" w:cs="Arial"/>
          <w:sz w:val="24"/>
          <w:szCs w:val="24"/>
        </w:rPr>
        <w:t>; and</w:t>
      </w:r>
    </w:p>
    <w:p w14:paraId="5B77287C" w14:textId="39986A1C" w:rsidR="00EB3550" w:rsidRPr="00BE538F" w:rsidRDefault="00EB3550" w:rsidP="00BE538F">
      <w:pPr>
        <w:pStyle w:val="ListParagraph"/>
        <w:numPr>
          <w:ilvl w:val="0"/>
          <w:numId w:val="21"/>
        </w:numPr>
        <w:spacing w:after="200" w:line="360" w:lineRule="auto"/>
        <w:rPr>
          <w:rFonts w:ascii="Arial" w:hAnsi="Arial" w:cs="Arial"/>
          <w:sz w:val="24"/>
          <w:szCs w:val="24"/>
        </w:rPr>
      </w:pPr>
      <w:r w:rsidRPr="00BE538F">
        <w:rPr>
          <w:rFonts w:ascii="Arial" w:hAnsi="Arial" w:cs="Arial"/>
          <w:sz w:val="24"/>
          <w:szCs w:val="24"/>
        </w:rPr>
        <w:t>The potential to mitigate landscape and visual impacts, such as through native hedges.</w:t>
      </w:r>
      <w:r w:rsidR="007B66C8" w:rsidRPr="00BE538F" w:rsidDel="007B66C8">
        <w:rPr>
          <w:rFonts w:ascii="Arial" w:hAnsi="Arial" w:cs="Arial"/>
          <w:sz w:val="24"/>
          <w:szCs w:val="24"/>
        </w:rPr>
        <w:t xml:space="preserve"> </w:t>
      </w:r>
    </w:p>
    <w:p w14:paraId="05590041" w14:textId="77777777" w:rsidR="00EB3550" w:rsidRPr="00BE538F" w:rsidRDefault="00EB3550" w:rsidP="00527B0F">
      <w:pPr>
        <w:pStyle w:val="Heading2"/>
        <w:rPr>
          <w:rFonts w:ascii="Arial" w:hAnsi="Arial" w:cs="Arial"/>
        </w:rPr>
      </w:pPr>
      <w:bookmarkStart w:id="52" w:name="_Toc188013962"/>
      <w:bookmarkStart w:id="53" w:name="_Toc198879968"/>
      <w:r w:rsidRPr="00BE538F">
        <w:rPr>
          <w:rFonts w:ascii="Arial" w:hAnsi="Arial" w:cs="Arial"/>
        </w:rPr>
        <w:lastRenderedPageBreak/>
        <w:t>5.2 Wales</w:t>
      </w:r>
      <w:bookmarkEnd w:id="52"/>
      <w:bookmarkEnd w:id="53"/>
    </w:p>
    <w:p w14:paraId="426B83F9"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In Wales, unless material considerations indicate otherwise, the LPA determines solar projects of under 50 MW. Solar projects between 50 MW and 350 MW are covered by the Planning (Wales) Act 2015 and are considered DNSs. These projects must seek planning permission from Welsh Ministers. Solar projects with a generating capacity of above 350 MW are classified as NSIPs.</w:t>
      </w:r>
    </w:p>
    <w:p w14:paraId="31B2B070" w14:textId="77777777" w:rsidR="00EB3550" w:rsidRPr="00BE538F" w:rsidRDefault="00EB3550" w:rsidP="00BE538F">
      <w:pPr>
        <w:spacing w:line="360" w:lineRule="auto"/>
        <w:rPr>
          <w:rFonts w:ascii="Arial" w:hAnsi="Arial" w:cs="Arial"/>
          <w:sz w:val="24"/>
          <w:szCs w:val="24"/>
        </w:rPr>
      </w:pPr>
      <w:r w:rsidRPr="00BE538F">
        <w:rPr>
          <w:rFonts w:ascii="Arial" w:hAnsi="Arial" w:cs="Arial"/>
          <w:iCs/>
          <w:sz w:val="24"/>
          <w:szCs w:val="24"/>
        </w:rPr>
        <w:t xml:space="preserve">‘Designing for renewable energy in </w:t>
      </w:r>
      <w:proofErr w:type="spellStart"/>
      <w:r w:rsidRPr="00BE538F">
        <w:rPr>
          <w:rFonts w:ascii="Arial" w:hAnsi="Arial" w:cs="Arial"/>
          <w:iCs/>
          <w:sz w:val="24"/>
          <w:szCs w:val="24"/>
        </w:rPr>
        <w:t>Wales’</w:t>
      </w:r>
      <w:proofErr w:type="spellEnd"/>
      <w:r w:rsidRPr="00BE538F">
        <w:rPr>
          <w:rFonts w:ascii="Arial" w:hAnsi="Arial" w:cs="Arial"/>
          <w:sz w:val="24"/>
          <w:szCs w:val="24"/>
        </w:rPr>
        <w:t xml:space="preserve"> gives the following design considerations for solar arrays:</w:t>
      </w:r>
    </w:p>
    <w:p w14:paraId="2F278F62" w14:textId="77777777" w:rsidR="00EB3550" w:rsidRPr="00BE538F" w:rsidRDefault="00EB3550" w:rsidP="00BE538F">
      <w:pPr>
        <w:pStyle w:val="ListParagraph"/>
        <w:numPr>
          <w:ilvl w:val="0"/>
          <w:numId w:val="22"/>
        </w:numPr>
        <w:spacing w:after="200" w:line="360" w:lineRule="auto"/>
        <w:rPr>
          <w:rFonts w:ascii="Arial" w:hAnsi="Arial" w:cs="Arial"/>
          <w:sz w:val="24"/>
          <w:szCs w:val="24"/>
        </w:rPr>
      </w:pPr>
      <w:r w:rsidRPr="00BE538F">
        <w:rPr>
          <w:rFonts w:ascii="Arial" w:hAnsi="Arial" w:cs="Arial"/>
          <w:sz w:val="24"/>
          <w:szCs w:val="24"/>
        </w:rPr>
        <w:t>Considerations which make for suitable sites:</w:t>
      </w:r>
    </w:p>
    <w:p w14:paraId="1BB45C26" w14:textId="178784FA" w:rsidR="00EB3550" w:rsidRPr="00BE538F" w:rsidRDefault="00EB3550" w:rsidP="00BE538F">
      <w:pPr>
        <w:pStyle w:val="ListParagraph"/>
        <w:numPr>
          <w:ilvl w:val="1"/>
          <w:numId w:val="22"/>
        </w:numPr>
        <w:spacing w:after="200" w:line="360" w:lineRule="auto"/>
        <w:rPr>
          <w:rFonts w:ascii="Arial" w:hAnsi="Arial" w:cs="Arial"/>
          <w:sz w:val="24"/>
          <w:szCs w:val="24"/>
        </w:rPr>
      </w:pPr>
      <w:r w:rsidRPr="00BE538F">
        <w:rPr>
          <w:rFonts w:ascii="Arial" w:hAnsi="Arial" w:cs="Arial"/>
          <w:sz w:val="24"/>
          <w:szCs w:val="24"/>
        </w:rPr>
        <w:t>Low-grade farming land</w:t>
      </w:r>
      <w:r w:rsidR="00495F69" w:rsidRPr="00BE538F">
        <w:rPr>
          <w:rFonts w:ascii="Arial" w:hAnsi="Arial" w:cs="Arial"/>
          <w:sz w:val="24"/>
          <w:szCs w:val="24"/>
        </w:rPr>
        <w:t>;</w:t>
      </w:r>
    </w:p>
    <w:p w14:paraId="713FE476" w14:textId="1BAB745E" w:rsidR="00EB3550" w:rsidRPr="00BE538F" w:rsidRDefault="00EB3550" w:rsidP="00BE538F">
      <w:pPr>
        <w:pStyle w:val="ListParagraph"/>
        <w:numPr>
          <w:ilvl w:val="1"/>
          <w:numId w:val="22"/>
        </w:numPr>
        <w:spacing w:after="200" w:line="360" w:lineRule="auto"/>
        <w:rPr>
          <w:rFonts w:ascii="Arial" w:hAnsi="Arial" w:cs="Arial"/>
          <w:sz w:val="24"/>
          <w:szCs w:val="24"/>
        </w:rPr>
      </w:pPr>
      <w:r w:rsidRPr="00BE538F">
        <w:rPr>
          <w:rFonts w:ascii="Arial" w:hAnsi="Arial" w:cs="Arial"/>
          <w:sz w:val="24"/>
          <w:szCs w:val="24"/>
        </w:rPr>
        <w:t>Non-designated locations</w:t>
      </w:r>
      <w:r w:rsidR="00495F69" w:rsidRPr="00BE538F">
        <w:rPr>
          <w:rFonts w:ascii="Arial" w:hAnsi="Arial" w:cs="Arial"/>
          <w:sz w:val="24"/>
          <w:szCs w:val="24"/>
        </w:rPr>
        <w:t>;</w:t>
      </w:r>
    </w:p>
    <w:p w14:paraId="3B2C67B9" w14:textId="71E63D83" w:rsidR="00EB3550" w:rsidRPr="00BE538F" w:rsidRDefault="00EB3550" w:rsidP="00BE538F">
      <w:pPr>
        <w:pStyle w:val="ListParagraph"/>
        <w:numPr>
          <w:ilvl w:val="1"/>
          <w:numId w:val="22"/>
        </w:numPr>
        <w:spacing w:after="200" w:line="360" w:lineRule="auto"/>
        <w:rPr>
          <w:rFonts w:ascii="Arial" w:hAnsi="Arial" w:cs="Arial"/>
          <w:sz w:val="24"/>
          <w:szCs w:val="24"/>
        </w:rPr>
      </w:pPr>
      <w:r w:rsidRPr="00BE538F">
        <w:rPr>
          <w:rFonts w:ascii="Arial" w:hAnsi="Arial" w:cs="Arial"/>
          <w:sz w:val="24"/>
          <w:szCs w:val="24"/>
        </w:rPr>
        <w:t>Suitable solar orientation</w:t>
      </w:r>
      <w:r w:rsidR="00495F69" w:rsidRPr="00BE538F">
        <w:rPr>
          <w:rFonts w:ascii="Arial" w:hAnsi="Arial" w:cs="Arial"/>
          <w:sz w:val="24"/>
          <w:szCs w:val="24"/>
        </w:rPr>
        <w:t>;</w:t>
      </w:r>
    </w:p>
    <w:p w14:paraId="3193EA91" w14:textId="260D9DB0" w:rsidR="00EB3550" w:rsidRPr="00BE538F" w:rsidRDefault="00EB3550" w:rsidP="00BE538F">
      <w:pPr>
        <w:pStyle w:val="ListParagraph"/>
        <w:numPr>
          <w:ilvl w:val="1"/>
          <w:numId w:val="22"/>
        </w:numPr>
        <w:spacing w:after="200" w:line="360" w:lineRule="auto"/>
        <w:rPr>
          <w:rFonts w:ascii="Arial" w:hAnsi="Arial" w:cs="Arial"/>
          <w:sz w:val="24"/>
          <w:szCs w:val="24"/>
        </w:rPr>
      </w:pPr>
      <w:r w:rsidRPr="00BE538F">
        <w:rPr>
          <w:rFonts w:ascii="Arial" w:hAnsi="Arial" w:cs="Arial"/>
          <w:sz w:val="24"/>
          <w:szCs w:val="24"/>
        </w:rPr>
        <w:t>Appropriate capability of connecting to the grid/facility it serves</w:t>
      </w:r>
      <w:r w:rsidR="00495F69" w:rsidRPr="00BE538F">
        <w:rPr>
          <w:rFonts w:ascii="Arial" w:hAnsi="Arial" w:cs="Arial"/>
          <w:sz w:val="24"/>
          <w:szCs w:val="24"/>
        </w:rPr>
        <w:t>;</w:t>
      </w:r>
    </w:p>
    <w:p w14:paraId="129A85A9" w14:textId="5680522C" w:rsidR="00EB3550" w:rsidRPr="00BE538F" w:rsidRDefault="00EB3550" w:rsidP="00BE538F">
      <w:pPr>
        <w:pStyle w:val="ListParagraph"/>
        <w:numPr>
          <w:ilvl w:val="1"/>
          <w:numId w:val="22"/>
        </w:numPr>
        <w:spacing w:after="200" w:line="360" w:lineRule="auto"/>
        <w:rPr>
          <w:rFonts w:ascii="Arial" w:hAnsi="Arial" w:cs="Arial"/>
          <w:sz w:val="24"/>
          <w:szCs w:val="24"/>
        </w:rPr>
      </w:pPr>
      <w:r w:rsidRPr="00BE538F">
        <w:rPr>
          <w:rFonts w:ascii="Arial" w:hAnsi="Arial" w:cs="Arial"/>
          <w:sz w:val="24"/>
          <w:szCs w:val="24"/>
        </w:rPr>
        <w:t>Capability of screening with perimeter planting/possibility of integration with existing landscape pattern</w:t>
      </w:r>
      <w:r w:rsidR="00495F69" w:rsidRPr="00BE538F">
        <w:rPr>
          <w:rFonts w:ascii="Arial" w:hAnsi="Arial" w:cs="Arial"/>
          <w:sz w:val="24"/>
          <w:szCs w:val="24"/>
        </w:rPr>
        <w:t>; and</w:t>
      </w:r>
    </w:p>
    <w:p w14:paraId="4D0654B9" w14:textId="68B17763" w:rsidR="00EB3550" w:rsidRPr="00BE538F" w:rsidRDefault="00EB3550" w:rsidP="00BE538F">
      <w:pPr>
        <w:pStyle w:val="ListParagraph"/>
        <w:numPr>
          <w:ilvl w:val="1"/>
          <w:numId w:val="22"/>
        </w:numPr>
        <w:spacing w:after="200" w:line="360" w:lineRule="auto"/>
        <w:rPr>
          <w:rFonts w:ascii="Arial" w:hAnsi="Arial" w:cs="Arial"/>
          <w:sz w:val="24"/>
          <w:szCs w:val="24"/>
        </w:rPr>
      </w:pPr>
      <w:r w:rsidRPr="00BE538F">
        <w:rPr>
          <w:rFonts w:ascii="Arial" w:hAnsi="Arial" w:cs="Arial"/>
          <w:sz w:val="24"/>
          <w:szCs w:val="24"/>
        </w:rPr>
        <w:t>Low impact on existing settlements and communities</w:t>
      </w:r>
      <w:r w:rsidR="00495F69" w:rsidRPr="00BE538F">
        <w:rPr>
          <w:rFonts w:ascii="Arial" w:hAnsi="Arial" w:cs="Arial"/>
          <w:sz w:val="24"/>
          <w:szCs w:val="24"/>
        </w:rPr>
        <w:t>.</w:t>
      </w:r>
    </w:p>
    <w:p w14:paraId="06ED1D1E" w14:textId="6A8AB4C4" w:rsidR="00EB3550" w:rsidRPr="00BE538F" w:rsidRDefault="00EB3550" w:rsidP="00BE538F">
      <w:pPr>
        <w:pStyle w:val="ListParagraph"/>
        <w:numPr>
          <w:ilvl w:val="0"/>
          <w:numId w:val="22"/>
        </w:numPr>
        <w:spacing w:after="200" w:line="360" w:lineRule="auto"/>
        <w:rPr>
          <w:rFonts w:ascii="Arial" w:hAnsi="Arial" w:cs="Arial"/>
          <w:sz w:val="24"/>
          <w:szCs w:val="24"/>
        </w:rPr>
      </w:pPr>
      <w:r w:rsidRPr="00BE538F">
        <w:rPr>
          <w:rFonts w:ascii="Arial" w:hAnsi="Arial" w:cs="Arial"/>
          <w:sz w:val="24"/>
          <w:szCs w:val="24"/>
        </w:rPr>
        <w:t>Possibility of splitting arrays into smaller ‘fields’ to aid screening and better fit the landscape</w:t>
      </w:r>
      <w:r w:rsidR="00495F69" w:rsidRPr="00BE538F">
        <w:rPr>
          <w:rFonts w:ascii="Arial" w:hAnsi="Arial" w:cs="Arial"/>
          <w:sz w:val="24"/>
          <w:szCs w:val="24"/>
        </w:rPr>
        <w:t>;</w:t>
      </w:r>
    </w:p>
    <w:p w14:paraId="5182CE8E" w14:textId="07AB56BE" w:rsidR="00EB3550" w:rsidRPr="00BE538F" w:rsidRDefault="00EB3550" w:rsidP="00BE538F">
      <w:pPr>
        <w:pStyle w:val="ListParagraph"/>
        <w:numPr>
          <w:ilvl w:val="0"/>
          <w:numId w:val="22"/>
        </w:numPr>
        <w:spacing w:after="200" w:line="360" w:lineRule="auto"/>
        <w:rPr>
          <w:rFonts w:ascii="Arial" w:hAnsi="Arial" w:cs="Arial"/>
          <w:sz w:val="24"/>
          <w:szCs w:val="24"/>
        </w:rPr>
      </w:pPr>
      <w:r w:rsidRPr="00BE538F">
        <w:rPr>
          <w:rFonts w:ascii="Arial" w:hAnsi="Arial" w:cs="Arial"/>
          <w:sz w:val="24"/>
          <w:szCs w:val="24"/>
        </w:rPr>
        <w:t>Use of colour in panels and their support structures to reduce landscape contrast</w:t>
      </w:r>
      <w:r w:rsidR="00495F69" w:rsidRPr="00BE538F">
        <w:rPr>
          <w:rFonts w:ascii="Arial" w:hAnsi="Arial" w:cs="Arial"/>
          <w:sz w:val="24"/>
          <w:szCs w:val="24"/>
        </w:rPr>
        <w:t>;</w:t>
      </w:r>
    </w:p>
    <w:p w14:paraId="223B0271" w14:textId="6DA175DF" w:rsidR="00EB3550" w:rsidRPr="00BE538F" w:rsidRDefault="00EB3550" w:rsidP="00BE538F">
      <w:pPr>
        <w:pStyle w:val="ListParagraph"/>
        <w:numPr>
          <w:ilvl w:val="0"/>
          <w:numId w:val="22"/>
        </w:numPr>
        <w:spacing w:after="200" w:line="360" w:lineRule="auto"/>
        <w:rPr>
          <w:rFonts w:ascii="Arial" w:hAnsi="Arial" w:cs="Arial"/>
          <w:sz w:val="24"/>
          <w:szCs w:val="24"/>
        </w:rPr>
      </w:pPr>
      <w:r w:rsidRPr="00BE538F">
        <w:rPr>
          <w:rFonts w:ascii="Arial" w:hAnsi="Arial" w:cs="Arial"/>
          <w:sz w:val="24"/>
          <w:szCs w:val="24"/>
        </w:rPr>
        <w:t>Potential to provide continued agricultural land use</w:t>
      </w:r>
      <w:r w:rsidR="00495F69" w:rsidRPr="00BE538F">
        <w:rPr>
          <w:rFonts w:ascii="Arial" w:hAnsi="Arial" w:cs="Arial"/>
          <w:sz w:val="24"/>
          <w:szCs w:val="24"/>
        </w:rPr>
        <w:t>; and</w:t>
      </w:r>
    </w:p>
    <w:p w14:paraId="4CD96F42" w14:textId="77777777" w:rsidR="00EB3550" w:rsidRPr="00BE538F" w:rsidRDefault="00EB3550" w:rsidP="00BE538F">
      <w:pPr>
        <w:pStyle w:val="ListParagraph"/>
        <w:numPr>
          <w:ilvl w:val="0"/>
          <w:numId w:val="22"/>
        </w:numPr>
        <w:spacing w:after="200" w:line="360" w:lineRule="auto"/>
        <w:rPr>
          <w:rFonts w:ascii="Arial" w:hAnsi="Arial" w:cs="Arial"/>
          <w:sz w:val="24"/>
          <w:szCs w:val="24"/>
        </w:rPr>
      </w:pPr>
      <w:r w:rsidRPr="00BE538F">
        <w:rPr>
          <w:rFonts w:ascii="Arial" w:hAnsi="Arial" w:cs="Arial"/>
          <w:sz w:val="24"/>
          <w:szCs w:val="24"/>
        </w:rPr>
        <w:t>Considerations of siting and design for ancillary infrastructure (substations, cables, access tracks, control buildings, etc.).</w:t>
      </w:r>
    </w:p>
    <w:p w14:paraId="4C8E1862"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The planning implications document</w:t>
      </w:r>
      <w:r w:rsidRPr="00BE538F">
        <w:rPr>
          <w:rStyle w:val="Hyperlink"/>
          <w:rFonts w:ascii="Arial" w:hAnsi="Arial" w:cs="Arial"/>
          <w:sz w:val="24"/>
          <w:szCs w:val="24"/>
        </w:rPr>
        <w:t>,</w:t>
      </w:r>
      <w:r w:rsidRPr="00BE538F">
        <w:rPr>
          <w:rFonts w:ascii="Arial" w:hAnsi="Arial" w:cs="Arial"/>
          <w:sz w:val="24"/>
          <w:szCs w:val="24"/>
        </w:rPr>
        <w:t xml:space="preserve"> contains a few other considerations:</w:t>
      </w:r>
    </w:p>
    <w:p w14:paraId="024A468A" w14:textId="66FD4489" w:rsidR="00EB3550" w:rsidRPr="00BE538F" w:rsidRDefault="00EB3550" w:rsidP="00BE538F">
      <w:pPr>
        <w:pStyle w:val="ListParagraph"/>
        <w:numPr>
          <w:ilvl w:val="0"/>
          <w:numId w:val="23"/>
        </w:numPr>
        <w:spacing w:after="200" w:line="360" w:lineRule="auto"/>
        <w:rPr>
          <w:rFonts w:ascii="Arial" w:hAnsi="Arial" w:cs="Arial"/>
          <w:sz w:val="24"/>
          <w:szCs w:val="24"/>
        </w:rPr>
      </w:pPr>
      <w:r w:rsidRPr="00BE538F">
        <w:rPr>
          <w:rFonts w:ascii="Arial" w:hAnsi="Arial" w:cs="Arial"/>
          <w:sz w:val="24"/>
          <w:szCs w:val="24"/>
        </w:rPr>
        <w:t>Glint and glare potential</w:t>
      </w:r>
      <w:r w:rsidR="006F3813" w:rsidRPr="00BE538F">
        <w:rPr>
          <w:rFonts w:ascii="Arial" w:hAnsi="Arial" w:cs="Arial"/>
          <w:sz w:val="24"/>
          <w:szCs w:val="24"/>
        </w:rPr>
        <w:t>;</w:t>
      </w:r>
    </w:p>
    <w:p w14:paraId="7680D4ED" w14:textId="0D5E4AB7" w:rsidR="00EB3550" w:rsidRPr="00BE538F" w:rsidRDefault="00EB3550" w:rsidP="00BE538F">
      <w:pPr>
        <w:pStyle w:val="ListParagraph"/>
        <w:numPr>
          <w:ilvl w:val="0"/>
          <w:numId w:val="23"/>
        </w:numPr>
        <w:spacing w:after="200" w:line="360" w:lineRule="auto"/>
        <w:rPr>
          <w:rFonts w:ascii="Arial" w:hAnsi="Arial" w:cs="Arial"/>
          <w:sz w:val="24"/>
          <w:szCs w:val="24"/>
        </w:rPr>
      </w:pPr>
      <w:r w:rsidRPr="00BE538F">
        <w:rPr>
          <w:rFonts w:ascii="Arial" w:hAnsi="Arial" w:cs="Arial"/>
          <w:sz w:val="24"/>
          <w:szCs w:val="24"/>
        </w:rPr>
        <w:t>Ecological impacts from security fencing on mammals, and lighting on bats</w:t>
      </w:r>
      <w:r w:rsidR="006F3813" w:rsidRPr="00BE538F">
        <w:rPr>
          <w:rFonts w:ascii="Arial" w:hAnsi="Arial" w:cs="Arial"/>
          <w:sz w:val="24"/>
          <w:szCs w:val="24"/>
        </w:rPr>
        <w:t>; and</w:t>
      </w:r>
    </w:p>
    <w:p w14:paraId="47757C2A" w14:textId="75BA618C" w:rsidR="00EB3550" w:rsidRPr="00BE538F" w:rsidRDefault="00EB3550" w:rsidP="00BE538F">
      <w:pPr>
        <w:pStyle w:val="ListParagraph"/>
        <w:numPr>
          <w:ilvl w:val="0"/>
          <w:numId w:val="23"/>
        </w:numPr>
        <w:spacing w:after="200" w:line="360" w:lineRule="auto"/>
        <w:rPr>
          <w:rFonts w:ascii="Arial" w:hAnsi="Arial" w:cs="Arial"/>
          <w:sz w:val="24"/>
          <w:szCs w:val="24"/>
        </w:rPr>
      </w:pPr>
      <w:r w:rsidRPr="00BE538F">
        <w:rPr>
          <w:rFonts w:ascii="Arial" w:hAnsi="Arial" w:cs="Arial"/>
          <w:sz w:val="24"/>
          <w:szCs w:val="24"/>
        </w:rPr>
        <w:t>Agricultural land of grade 3a and above should only be used if no other options are available (due to presence, need, environmental or historical reason.</w:t>
      </w:r>
      <w:r w:rsidR="006F3813" w:rsidRPr="00BE538F" w:rsidDel="006F3813">
        <w:rPr>
          <w:rFonts w:ascii="Arial" w:hAnsi="Arial" w:cs="Arial"/>
          <w:sz w:val="24"/>
          <w:szCs w:val="24"/>
        </w:rPr>
        <w:t xml:space="preserve"> </w:t>
      </w:r>
    </w:p>
    <w:p w14:paraId="01292F9A" w14:textId="77777777" w:rsidR="00EB3550" w:rsidRPr="00BE538F" w:rsidRDefault="00EB3550" w:rsidP="00527B0F">
      <w:pPr>
        <w:pStyle w:val="Heading2"/>
        <w:rPr>
          <w:rFonts w:ascii="Arial" w:hAnsi="Arial" w:cs="Arial"/>
        </w:rPr>
      </w:pPr>
      <w:bookmarkStart w:id="54" w:name="_Toc188013963"/>
      <w:bookmarkStart w:id="55" w:name="_Toc198879969"/>
      <w:r w:rsidRPr="00BE538F">
        <w:rPr>
          <w:rFonts w:ascii="Arial" w:hAnsi="Arial" w:cs="Arial"/>
        </w:rPr>
        <w:lastRenderedPageBreak/>
        <w:t>5.3 Scotland</w:t>
      </w:r>
      <w:bookmarkEnd w:id="54"/>
      <w:bookmarkEnd w:id="55"/>
    </w:p>
    <w:p w14:paraId="2413E058"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In Scotland, the LPA decides on solar projects up to 50 MW. Solar projects above 50 MW must seek consent from Scottish Ministers through the Scottish Government's Energy Consent Unit.</w:t>
      </w:r>
    </w:p>
    <w:p w14:paraId="299248B1"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The planning advice note produced for solar projects gives the following planning considerations:</w:t>
      </w:r>
    </w:p>
    <w:p w14:paraId="6BFB8088" w14:textId="2720EA09" w:rsidR="00EB3550" w:rsidRPr="00BE538F" w:rsidRDefault="00EB3550" w:rsidP="00BE538F">
      <w:pPr>
        <w:pStyle w:val="ListParagraph"/>
        <w:numPr>
          <w:ilvl w:val="0"/>
          <w:numId w:val="24"/>
        </w:numPr>
        <w:spacing w:after="200" w:line="360" w:lineRule="auto"/>
        <w:rPr>
          <w:rFonts w:ascii="Arial" w:hAnsi="Arial" w:cs="Arial"/>
          <w:sz w:val="24"/>
          <w:szCs w:val="24"/>
        </w:rPr>
      </w:pPr>
      <w:r w:rsidRPr="00BE538F">
        <w:rPr>
          <w:rFonts w:ascii="Arial" w:hAnsi="Arial" w:cs="Arial"/>
          <w:sz w:val="24"/>
          <w:szCs w:val="24"/>
        </w:rPr>
        <w:t>Ecological impacts from construction</w:t>
      </w:r>
      <w:r w:rsidR="007761E6" w:rsidRPr="00BE538F">
        <w:rPr>
          <w:rFonts w:ascii="Arial" w:hAnsi="Arial" w:cs="Arial"/>
          <w:sz w:val="24"/>
          <w:szCs w:val="24"/>
        </w:rPr>
        <w:t>;</w:t>
      </w:r>
    </w:p>
    <w:p w14:paraId="2A7EDBE1" w14:textId="59BCFF7F" w:rsidR="00EB3550" w:rsidRPr="00BE538F" w:rsidRDefault="00EB3550" w:rsidP="00BE538F">
      <w:pPr>
        <w:pStyle w:val="ListParagraph"/>
        <w:numPr>
          <w:ilvl w:val="0"/>
          <w:numId w:val="24"/>
        </w:numPr>
        <w:spacing w:after="200" w:line="360" w:lineRule="auto"/>
        <w:rPr>
          <w:rFonts w:ascii="Arial" w:hAnsi="Arial" w:cs="Arial"/>
          <w:sz w:val="24"/>
          <w:szCs w:val="24"/>
        </w:rPr>
      </w:pPr>
      <w:r w:rsidRPr="00BE538F">
        <w:rPr>
          <w:rFonts w:ascii="Arial" w:hAnsi="Arial" w:cs="Arial"/>
          <w:sz w:val="24"/>
          <w:szCs w:val="24"/>
        </w:rPr>
        <w:t>Potential impacts on communities from loss of traditional land usage</w:t>
      </w:r>
      <w:r w:rsidR="007761E6" w:rsidRPr="00BE538F">
        <w:rPr>
          <w:rFonts w:ascii="Arial" w:hAnsi="Arial" w:cs="Arial"/>
          <w:sz w:val="24"/>
          <w:szCs w:val="24"/>
        </w:rPr>
        <w:t>; and</w:t>
      </w:r>
    </w:p>
    <w:p w14:paraId="5FC60959" w14:textId="77777777" w:rsidR="00EB3550" w:rsidRPr="00BE538F" w:rsidRDefault="00EB3550" w:rsidP="00BE538F">
      <w:pPr>
        <w:pStyle w:val="ListParagraph"/>
        <w:numPr>
          <w:ilvl w:val="0"/>
          <w:numId w:val="24"/>
        </w:numPr>
        <w:spacing w:after="200" w:line="360" w:lineRule="auto"/>
        <w:rPr>
          <w:rFonts w:ascii="Arial" w:hAnsi="Arial" w:cs="Arial"/>
          <w:sz w:val="24"/>
          <w:szCs w:val="24"/>
        </w:rPr>
      </w:pPr>
      <w:r w:rsidRPr="00BE538F">
        <w:rPr>
          <w:rFonts w:ascii="Arial" w:hAnsi="Arial" w:cs="Arial"/>
          <w:sz w:val="24"/>
          <w:szCs w:val="24"/>
        </w:rPr>
        <w:t xml:space="preserve">Glint and glare impacts. </w:t>
      </w:r>
    </w:p>
    <w:p w14:paraId="4B618787" w14:textId="000D458D"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 xml:space="preserve">Further details on the ecological and environmental impact considerations of solar developments are provided by </w:t>
      </w:r>
      <w:proofErr w:type="spellStart"/>
      <w:r w:rsidRPr="00BE538F">
        <w:rPr>
          <w:rFonts w:ascii="Arial" w:hAnsi="Arial" w:cs="Arial"/>
          <w:sz w:val="24"/>
          <w:szCs w:val="24"/>
        </w:rPr>
        <w:t>NatureScot</w:t>
      </w:r>
      <w:proofErr w:type="spellEnd"/>
      <w:r w:rsidRPr="00BE538F">
        <w:rPr>
          <w:rFonts w:ascii="Arial" w:hAnsi="Arial" w:cs="Arial"/>
          <w:sz w:val="24"/>
          <w:szCs w:val="24"/>
        </w:rPr>
        <w:t>, in addition to further information on visual impacts</w:t>
      </w:r>
      <w:r w:rsidR="00A72270" w:rsidRPr="00BE538F">
        <w:rPr>
          <w:rFonts w:ascii="Arial" w:hAnsi="Arial" w:cs="Arial"/>
          <w:sz w:val="24"/>
          <w:szCs w:val="24"/>
        </w:rPr>
        <w:t xml:space="preserve"> </w:t>
      </w:r>
      <w:hyperlink r:id="rId49" w:history="1">
        <w:r w:rsidR="00A72270" w:rsidRPr="00BE538F">
          <w:rPr>
            <w:rStyle w:val="Hyperlink"/>
            <w:rFonts w:ascii="Arial" w:hAnsi="Arial" w:cs="Arial"/>
            <w:sz w:val="24"/>
            <w:szCs w:val="24"/>
          </w:rPr>
          <w:t>(</w:t>
        </w:r>
        <w:proofErr w:type="spellStart"/>
        <w:r w:rsidR="00A72270" w:rsidRPr="00BE538F">
          <w:rPr>
            <w:rStyle w:val="Hyperlink"/>
            <w:rFonts w:ascii="Arial" w:hAnsi="Arial" w:cs="Arial"/>
            <w:sz w:val="24"/>
            <w:szCs w:val="24"/>
          </w:rPr>
          <w:t>NatureScot</w:t>
        </w:r>
        <w:proofErr w:type="spellEnd"/>
        <w:r w:rsidR="00A72270" w:rsidRPr="00BE538F">
          <w:rPr>
            <w:rStyle w:val="Hyperlink"/>
            <w:rFonts w:ascii="Arial" w:hAnsi="Arial" w:cs="Arial"/>
            <w:sz w:val="24"/>
            <w:szCs w:val="24"/>
          </w:rPr>
          <w:t>, 2025)</w:t>
        </w:r>
      </w:hyperlink>
      <w:r w:rsidRPr="00BE538F">
        <w:rPr>
          <w:rFonts w:ascii="Arial" w:hAnsi="Arial" w:cs="Arial"/>
          <w:sz w:val="24"/>
          <w:szCs w:val="24"/>
        </w:rPr>
        <w:t>.</w:t>
      </w:r>
    </w:p>
    <w:p w14:paraId="77992AF8" w14:textId="77777777" w:rsidR="00EB3550" w:rsidRPr="00BE538F" w:rsidRDefault="00EB3550" w:rsidP="00527B0F">
      <w:pPr>
        <w:pStyle w:val="Heading2"/>
        <w:rPr>
          <w:rFonts w:ascii="Arial" w:hAnsi="Arial" w:cs="Arial"/>
        </w:rPr>
      </w:pPr>
      <w:bookmarkStart w:id="56" w:name="_Toc188013964"/>
      <w:bookmarkStart w:id="57" w:name="_Toc198879970"/>
      <w:r w:rsidRPr="00BE538F">
        <w:rPr>
          <w:rFonts w:ascii="Arial" w:hAnsi="Arial" w:cs="Arial"/>
        </w:rPr>
        <w:t>5.4 Northern Ireland</w:t>
      </w:r>
      <w:bookmarkEnd w:id="56"/>
      <w:bookmarkEnd w:id="57"/>
    </w:p>
    <w:p w14:paraId="4A125FA2" w14:textId="456F7282"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The best practice guidance to PPS18 focuses mainly on domestic and commercial solar PV installations but makes note of the potential impact of shading from nearby trees, buildings or other structures on overall efficiency.</w:t>
      </w:r>
      <w:r w:rsidR="00C7513F" w:rsidRPr="00C7513F" w:rsidDel="00C7513F">
        <w:rPr>
          <w:rFonts w:ascii="Arial" w:hAnsi="Arial" w:cs="Arial"/>
          <w:sz w:val="24"/>
          <w:szCs w:val="24"/>
          <w:highlight w:val="yellow"/>
        </w:rPr>
        <w:t xml:space="preserve"> </w:t>
      </w:r>
    </w:p>
    <w:p w14:paraId="3DEBA74A" w14:textId="12BA4D9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DAERA has also published guidance on solar energy, which gives the following environmental considerations</w:t>
      </w:r>
      <w:r w:rsidR="00075AC2" w:rsidRPr="00BE538F">
        <w:rPr>
          <w:rFonts w:ascii="Arial" w:hAnsi="Arial" w:cs="Arial"/>
          <w:sz w:val="24"/>
          <w:szCs w:val="24"/>
        </w:rPr>
        <w:t xml:space="preserve"> </w:t>
      </w:r>
      <w:hyperlink r:id="rId50" w:history="1">
        <w:r w:rsidR="00075AC2" w:rsidRPr="00BE538F">
          <w:rPr>
            <w:rStyle w:val="Hyperlink"/>
            <w:rFonts w:ascii="Arial" w:hAnsi="Arial" w:cs="Arial"/>
            <w:sz w:val="24"/>
            <w:szCs w:val="24"/>
          </w:rPr>
          <w:t>(DAERA, 2025)</w:t>
        </w:r>
      </w:hyperlink>
      <w:r w:rsidRPr="00BE538F">
        <w:rPr>
          <w:rFonts w:ascii="Arial" w:hAnsi="Arial" w:cs="Arial"/>
          <w:sz w:val="24"/>
          <w:szCs w:val="24"/>
        </w:rPr>
        <w:t>:</w:t>
      </w:r>
    </w:p>
    <w:p w14:paraId="147D88C5" w14:textId="7830B0FB" w:rsidR="00EB3550" w:rsidRPr="00BE538F" w:rsidRDefault="00EB3550" w:rsidP="00BE538F">
      <w:pPr>
        <w:pStyle w:val="ListParagraph"/>
        <w:numPr>
          <w:ilvl w:val="0"/>
          <w:numId w:val="25"/>
        </w:numPr>
        <w:spacing w:after="200" w:line="360" w:lineRule="auto"/>
        <w:rPr>
          <w:rFonts w:ascii="Arial" w:hAnsi="Arial" w:cs="Arial"/>
          <w:sz w:val="24"/>
          <w:szCs w:val="24"/>
        </w:rPr>
      </w:pPr>
      <w:r w:rsidRPr="00BE538F">
        <w:rPr>
          <w:rFonts w:ascii="Arial" w:hAnsi="Arial" w:cs="Arial"/>
          <w:sz w:val="24"/>
          <w:szCs w:val="24"/>
        </w:rPr>
        <w:t>Potential damage to habitats (bogs, heathlands and low-nutrient grasslands)</w:t>
      </w:r>
      <w:r w:rsidR="00CB4B45" w:rsidRPr="00BE538F">
        <w:rPr>
          <w:rFonts w:ascii="Arial" w:hAnsi="Arial" w:cs="Arial"/>
          <w:sz w:val="24"/>
          <w:szCs w:val="24"/>
        </w:rPr>
        <w:t>;</w:t>
      </w:r>
    </w:p>
    <w:p w14:paraId="2EF49A9A" w14:textId="39636406" w:rsidR="00EB3550" w:rsidRPr="00BE538F" w:rsidRDefault="00EB3550" w:rsidP="00BE538F">
      <w:pPr>
        <w:pStyle w:val="ListParagraph"/>
        <w:numPr>
          <w:ilvl w:val="0"/>
          <w:numId w:val="25"/>
        </w:numPr>
        <w:spacing w:after="200" w:line="360" w:lineRule="auto"/>
        <w:rPr>
          <w:rFonts w:ascii="Arial" w:hAnsi="Arial" w:cs="Arial"/>
          <w:sz w:val="24"/>
          <w:szCs w:val="24"/>
        </w:rPr>
      </w:pPr>
      <w:r w:rsidRPr="00BE538F">
        <w:rPr>
          <w:rFonts w:ascii="Arial" w:hAnsi="Arial" w:cs="Arial"/>
          <w:sz w:val="24"/>
          <w:szCs w:val="24"/>
        </w:rPr>
        <w:t>Species disturbance/displacement</w:t>
      </w:r>
      <w:r w:rsidR="00CB4B45" w:rsidRPr="00BE538F">
        <w:rPr>
          <w:rFonts w:ascii="Arial" w:hAnsi="Arial" w:cs="Arial"/>
          <w:sz w:val="24"/>
          <w:szCs w:val="24"/>
        </w:rPr>
        <w:t>; and</w:t>
      </w:r>
    </w:p>
    <w:p w14:paraId="78DBBFC9" w14:textId="279ADF54" w:rsidR="00EB3550" w:rsidRPr="00BE538F" w:rsidRDefault="00EB3550" w:rsidP="00BE538F">
      <w:pPr>
        <w:pStyle w:val="ListParagraph"/>
        <w:numPr>
          <w:ilvl w:val="0"/>
          <w:numId w:val="25"/>
        </w:numPr>
        <w:spacing w:after="200" w:line="360" w:lineRule="auto"/>
        <w:rPr>
          <w:rFonts w:ascii="Arial" w:hAnsi="Arial" w:cs="Arial"/>
          <w:sz w:val="24"/>
          <w:szCs w:val="24"/>
        </w:rPr>
      </w:pPr>
      <w:r w:rsidRPr="00BE538F">
        <w:rPr>
          <w:rFonts w:ascii="Arial" w:hAnsi="Arial" w:cs="Arial"/>
          <w:sz w:val="24"/>
          <w:szCs w:val="24"/>
        </w:rPr>
        <w:t>Modification to waterways/pollution of water environment from maintenance chemicals.</w:t>
      </w:r>
    </w:p>
    <w:p w14:paraId="21598AEA" w14:textId="25C233F5" w:rsidR="00EB3550" w:rsidRPr="00BE538F" w:rsidRDefault="002D3A70" w:rsidP="00BE538F">
      <w:pPr>
        <w:pStyle w:val="Heading1"/>
        <w:spacing w:line="276" w:lineRule="auto"/>
        <w:rPr>
          <w:rFonts w:ascii="Arial" w:hAnsi="Arial" w:cs="Arial"/>
        </w:rPr>
      </w:pPr>
      <w:bookmarkStart w:id="58" w:name="_Toc188013965"/>
      <w:bookmarkStart w:id="59" w:name="_Toc198879971"/>
      <w:r w:rsidRPr="00BE538F">
        <w:rPr>
          <w:rFonts w:ascii="Arial" w:hAnsi="Arial" w:cs="Arial"/>
        </w:rPr>
        <w:t xml:space="preserve">6. </w:t>
      </w:r>
      <w:r w:rsidR="00EB3550" w:rsidRPr="00BE538F">
        <w:rPr>
          <w:rFonts w:ascii="Arial" w:hAnsi="Arial" w:cs="Arial"/>
        </w:rPr>
        <w:t>Battery Energy Storage Systems (BESS)</w:t>
      </w:r>
      <w:bookmarkEnd w:id="58"/>
      <w:bookmarkEnd w:id="59"/>
    </w:p>
    <w:p w14:paraId="03330775" w14:textId="77777777" w:rsidR="00EB3550" w:rsidRPr="00BE538F" w:rsidRDefault="00EB3550" w:rsidP="00527B0F">
      <w:pPr>
        <w:pStyle w:val="Heading2"/>
        <w:rPr>
          <w:rFonts w:ascii="Arial" w:hAnsi="Arial" w:cs="Arial"/>
        </w:rPr>
      </w:pPr>
      <w:bookmarkStart w:id="60" w:name="_Toc188013966"/>
      <w:bookmarkStart w:id="61" w:name="_Toc198879972"/>
      <w:r w:rsidRPr="00BE538F">
        <w:rPr>
          <w:rFonts w:ascii="Arial" w:hAnsi="Arial" w:cs="Arial"/>
        </w:rPr>
        <w:t>6.1 UK-wide guidance</w:t>
      </w:r>
      <w:bookmarkEnd w:id="60"/>
      <w:bookmarkEnd w:id="61"/>
    </w:p>
    <w:p w14:paraId="57B1BBD0"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The planning regime for batteries varies across the nations. In England and Wales, LPAS are responsible for all standalone BESS applications.</w:t>
      </w:r>
    </w:p>
    <w:p w14:paraId="587F1020" w14:textId="2008A7B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In Scotland, LPAs are only responsible for applications up to 50 MW as they are treated as generating stations</w:t>
      </w:r>
      <w:r w:rsidR="00CA0236" w:rsidRPr="00BE538F">
        <w:rPr>
          <w:rFonts w:ascii="Arial" w:hAnsi="Arial" w:cs="Arial"/>
          <w:sz w:val="24"/>
          <w:szCs w:val="24"/>
        </w:rPr>
        <w:t xml:space="preserve"> </w:t>
      </w:r>
      <w:hyperlink r:id="rId51" w:history="1">
        <w:r w:rsidR="00CA0236" w:rsidRPr="00BE538F">
          <w:rPr>
            <w:rStyle w:val="Hyperlink"/>
            <w:rFonts w:ascii="Arial" w:hAnsi="Arial" w:cs="Arial"/>
            <w:sz w:val="24"/>
            <w:szCs w:val="24"/>
          </w:rPr>
          <w:t>(Scottish Government, 2020)</w:t>
        </w:r>
      </w:hyperlink>
      <w:r w:rsidRPr="00BE538F">
        <w:rPr>
          <w:rFonts w:ascii="Arial" w:hAnsi="Arial" w:cs="Arial"/>
          <w:sz w:val="24"/>
          <w:szCs w:val="24"/>
        </w:rPr>
        <w:t xml:space="preserve">. Projects greater than 50 </w:t>
      </w:r>
      <w:r w:rsidRPr="00BE538F">
        <w:rPr>
          <w:rFonts w:ascii="Arial" w:hAnsi="Arial" w:cs="Arial"/>
          <w:sz w:val="24"/>
          <w:szCs w:val="24"/>
        </w:rPr>
        <w:lastRenderedPageBreak/>
        <w:t xml:space="preserve">MW must seek consent from Scottish Ministers under Section 36 of the Electricity Act (1989) through the Scottish Government's Energy Consent Unit. </w:t>
      </w:r>
    </w:p>
    <w:p w14:paraId="1D9A8C3F" w14:textId="29465F03"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In Northern Ireland, under The Planning Regulations (Northern Ireland) 2015, any project up to 30 MW requires permission from local authorities as a generating station</w:t>
      </w:r>
      <w:bookmarkStart w:id="62" w:name="_Ref187825247"/>
      <w:r w:rsidR="006F6151" w:rsidRPr="00BE538F">
        <w:rPr>
          <w:rFonts w:ascii="Arial" w:hAnsi="Arial" w:cs="Arial"/>
          <w:sz w:val="24"/>
          <w:szCs w:val="24"/>
        </w:rPr>
        <w:t xml:space="preserve"> </w:t>
      </w:r>
      <w:hyperlink r:id="rId52" w:history="1">
        <w:r w:rsidR="006F6151" w:rsidRPr="00BE538F">
          <w:rPr>
            <w:rStyle w:val="Hyperlink"/>
            <w:rFonts w:ascii="Arial" w:hAnsi="Arial" w:cs="Arial"/>
            <w:sz w:val="24"/>
            <w:szCs w:val="24"/>
          </w:rPr>
          <w:t>(Department for Infrastructure, 2020)</w:t>
        </w:r>
      </w:hyperlink>
      <w:r w:rsidRPr="00BE538F">
        <w:rPr>
          <w:rFonts w:ascii="Arial" w:hAnsi="Arial" w:cs="Arial"/>
          <w:sz w:val="24"/>
          <w:szCs w:val="24"/>
        </w:rPr>
        <w:t>.</w:t>
      </w:r>
      <w:bookmarkEnd w:id="62"/>
      <w:r w:rsidRPr="00BE538F">
        <w:rPr>
          <w:rFonts w:ascii="Arial" w:hAnsi="Arial" w:cs="Arial"/>
          <w:sz w:val="24"/>
          <w:szCs w:val="24"/>
        </w:rPr>
        <w:t xml:space="preserve"> However, the advice to treat BESS as generating stations has undergone judicial review and it is recommended that the chief planner’s update is read along with this review</w:t>
      </w:r>
      <w:r w:rsidR="003B46E0" w:rsidRPr="00BE538F">
        <w:rPr>
          <w:rFonts w:ascii="Arial" w:hAnsi="Arial" w:cs="Arial"/>
          <w:sz w:val="24"/>
          <w:szCs w:val="24"/>
        </w:rPr>
        <w:t xml:space="preserve"> </w:t>
      </w:r>
      <w:hyperlink r:id="rId53" w:history="1">
        <w:r w:rsidR="003B46E0" w:rsidRPr="00BE538F">
          <w:rPr>
            <w:rStyle w:val="Hyperlink"/>
            <w:rFonts w:ascii="Arial" w:hAnsi="Arial" w:cs="Arial"/>
            <w:sz w:val="24"/>
            <w:szCs w:val="24"/>
          </w:rPr>
          <w:t>(High Court of Justice in Northern Ireland, 2021)</w:t>
        </w:r>
      </w:hyperlink>
      <w:r w:rsidRPr="00BE538F">
        <w:rPr>
          <w:rFonts w:ascii="Arial" w:hAnsi="Arial" w:cs="Arial"/>
          <w:sz w:val="24"/>
          <w:szCs w:val="24"/>
        </w:rPr>
        <w:t xml:space="preserve">. </w:t>
      </w:r>
    </w:p>
    <w:p w14:paraId="4D030096" w14:textId="43DC6BE8"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Multiple organisations have published guidance applying to all four nations in the United Kingdom. The Energy Institute has a guidance note focused on storage planning which advises LPAs to review</w:t>
      </w:r>
      <w:r w:rsidR="00FB2A50" w:rsidRPr="00BE538F">
        <w:rPr>
          <w:rFonts w:ascii="Arial" w:hAnsi="Arial" w:cs="Arial"/>
          <w:sz w:val="24"/>
          <w:szCs w:val="24"/>
        </w:rPr>
        <w:t xml:space="preserve"> </w:t>
      </w:r>
      <w:hyperlink r:id="rId54" w:history="1">
        <w:r w:rsidR="00FB2A50" w:rsidRPr="00BE538F">
          <w:rPr>
            <w:rStyle w:val="Hyperlink"/>
            <w:rFonts w:ascii="Arial" w:hAnsi="Arial" w:cs="Arial"/>
            <w:sz w:val="24"/>
            <w:szCs w:val="24"/>
          </w:rPr>
          <w:t xml:space="preserve">(Energy Institute, </w:t>
        </w:r>
        <w:r w:rsidR="00BF25E7" w:rsidRPr="00BE538F">
          <w:rPr>
            <w:rStyle w:val="Hyperlink"/>
            <w:rFonts w:ascii="Arial" w:hAnsi="Arial" w:cs="Arial"/>
            <w:sz w:val="24"/>
            <w:szCs w:val="24"/>
          </w:rPr>
          <w:t>2019)</w:t>
        </w:r>
      </w:hyperlink>
      <w:r w:rsidRPr="00BE538F">
        <w:rPr>
          <w:rFonts w:ascii="Arial" w:hAnsi="Arial" w:cs="Arial"/>
          <w:sz w:val="24"/>
          <w:szCs w:val="24"/>
        </w:rPr>
        <w:t>:</w:t>
      </w:r>
    </w:p>
    <w:p w14:paraId="073A6113" w14:textId="507B44C6" w:rsidR="00EB3550" w:rsidRPr="00BE538F" w:rsidRDefault="00EB3550" w:rsidP="00BE538F">
      <w:pPr>
        <w:pStyle w:val="ListParagraph"/>
        <w:numPr>
          <w:ilvl w:val="0"/>
          <w:numId w:val="27"/>
        </w:numPr>
        <w:spacing w:after="200" w:line="360" w:lineRule="auto"/>
        <w:rPr>
          <w:rFonts w:ascii="Arial" w:hAnsi="Arial" w:cs="Arial"/>
          <w:sz w:val="24"/>
          <w:szCs w:val="24"/>
        </w:rPr>
      </w:pPr>
      <w:r w:rsidRPr="00BE538F">
        <w:rPr>
          <w:rFonts w:ascii="Arial" w:hAnsi="Arial" w:cs="Arial"/>
          <w:sz w:val="24"/>
          <w:szCs w:val="24"/>
        </w:rPr>
        <w:t>The site restrictions, including the area immediately around the installation</w:t>
      </w:r>
      <w:r w:rsidR="006F3813" w:rsidRPr="00BE538F">
        <w:rPr>
          <w:rFonts w:ascii="Arial" w:hAnsi="Arial" w:cs="Arial"/>
          <w:sz w:val="24"/>
          <w:szCs w:val="24"/>
        </w:rPr>
        <w:t>;</w:t>
      </w:r>
    </w:p>
    <w:p w14:paraId="65AABC90" w14:textId="427F6ED4" w:rsidR="00EB3550" w:rsidRPr="00BE538F" w:rsidRDefault="00EB3550" w:rsidP="00BE538F">
      <w:pPr>
        <w:pStyle w:val="ListParagraph"/>
        <w:numPr>
          <w:ilvl w:val="0"/>
          <w:numId w:val="27"/>
        </w:numPr>
        <w:spacing w:after="200" w:line="360" w:lineRule="auto"/>
        <w:rPr>
          <w:rFonts w:ascii="Arial" w:hAnsi="Arial" w:cs="Arial"/>
          <w:sz w:val="24"/>
          <w:szCs w:val="24"/>
        </w:rPr>
      </w:pPr>
      <w:r w:rsidRPr="00BE538F">
        <w:rPr>
          <w:rFonts w:ascii="Arial" w:hAnsi="Arial" w:cs="Arial"/>
          <w:sz w:val="24"/>
          <w:szCs w:val="24"/>
        </w:rPr>
        <w:t>Type of housing structure(s) (trade-off between vernacular design and fire risk)</w:t>
      </w:r>
      <w:r w:rsidR="006F3813" w:rsidRPr="00BE538F">
        <w:rPr>
          <w:rFonts w:ascii="Arial" w:hAnsi="Arial" w:cs="Arial"/>
          <w:sz w:val="24"/>
          <w:szCs w:val="24"/>
        </w:rPr>
        <w:t>;</w:t>
      </w:r>
    </w:p>
    <w:p w14:paraId="6210D606" w14:textId="7FC312A2" w:rsidR="00EB3550" w:rsidRPr="00BE538F" w:rsidRDefault="00EB3550" w:rsidP="00BE538F">
      <w:pPr>
        <w:pStyle w:val="ListParagraph"/>
        <w:numPr>
          <w:ilvl w:val="0"/>
          <w:numId w:val="27"/>
        </w:numPr>
        <w:spacing w:after="200" w:line="360" w:lineRule="auto"/>
        <w:rPr>
          <w:rFonts w:ascii="Arial" w:hAnsi="Arial" w:cs="Arial"/>
          <w:sz w:val="24"/>
          <w:szCs w:val="24"/>
        </w:rPr>
      </w:pPr>
      <w:r w:rsidRPr="00BE538F">
        <w:rPr>
          <w:rFonts w:ascii="Arial" w:hAnsi="Arial" w:cs="Arial"/>
          <w:sz w:val="24"/>
          <w:szCs w:val="24"/>
        </w:rPr>
        <w:t>Grid connection capacity</w:t>
      </w:r>
      <w:r w:rsidR="006F3813" w:rsidRPr="00BE538F">
        <w:rPr>
          <w:rFonts w:ascii="Arial" w:hAnsi="Arial" w:cs="Arial"/>
          <w:sz w:val="24"/>
          <w:szCs w:val="24"/>
        </w:rPr>
        <w:t>;</w:t>
      </w:r>
    </w:p>
    <w:p w14:paraId="3AEF8BBB" w14:textId="2664A367" w:rsidR="00EB3550" w:rsidRPr="00BE538F" w:rsidRDefault="00EB3550" w:rsidP="00BE538F">
      <w:pPr>
        <w:pStyle w:val="ListParagraph"/>
        <w:numPr>
          <w:ilvl w:val="0"/>
          <w:numId w:val="27"/>
        </w:numPr>
        <w:spacing w:after="200" w:line="360" w:lineRule="auto"/>
        <w:rPr>
          <w:rFonts w:ascii="Arial" w:hAnsi="Arial" w:cs="Arial"/>
          <w:sz w:val="24"/>
          <w:szCs w:val="24"/>
        </w:rPr>
      </w:pPr>
      <w:r w:rsidRPr="00BE538F">
        <w:rPr>
          <w:rFonts w:ascii="Arial" w:hAnsi="Arial" w:cs="Arial"/>
          <w:sz w:val="24"/>
          <w:szCs w:val="24"/>
        </w:rPr>
        <w:t>Site security and its impacts on maintenance, visual impact, noise and safety</w:t>
      </w:r>
      <w:r w:rsidR="006F3813" w:rsidRPr="00BE538F">
        <w:rPr>
          <w:rFonts w:ascii="Arial" w:hAnsi="Arial" w:cs="Arial"/>
          <w:sz w:val="24"/>
          <w:szCs w:val="24"/>
        </w:rPr>
        <w:t>;</w:t>
      </w:r>
    </w:p>
    <w:p w14:paraId="12D05FD3" w14:textId="63C9DFEB" w:rsidR="00EB3550" w:rsidRPr="00BE538F" w:rsidRDefault="00EB3550" w:rsidP="00BE538F">
      <w:pPr>
        <w:pStyle w:val="ListParagraph"/>
        <w:numPr>
          <w:ilvl w:val="0"/>
          <w:numId w:val="27"/>
        </w:numPr>
        <w:spacing w:after="200" w:line="360" w:lineRule="auto"/>
        <w:rPr>
          <w:rFonts w:ascii="Arial" w:hAnsi="Arial" w:cs="Arial"/>
          <w:i/>
          <w:iCs/>
          <w:sz w:val="24"/>
          <w:szCs w:val="24"/>
        </w:rPr>
      </w:pPr>
      <w:r w:rsidRPr="00BE538F">
        <w:rPr>
          <w:rFonts w:ascii="Arial" w:hAnsi="Arial" w:cs="Arial"/>
          <w:sz w:val="24"/>
          <w:szCs w:val="24"/>
        </w:rPr>
        <w:t>Intended project use</w:t>
      </w:r>
      <w:r w:rsidR="006F3813" w:rsidRPr="00BE538F">
        <w:rPr>
          <w:rFonts w:ascii="Arial" w:hAnsi="Arial" w:cs="Arial"/>
          <w:sz w:val="24"/>
          <w:szCs w:val="24"/>
        </w:rPr>
        <w:t>;</w:t>
      </w:r>
    </w:p>
    <w:p w14:paraId="0CFAEECF" w14:textId="47AB6B33" w:rsidR="00EB3550" w:rsidRPr="00BE538F" w:rsidRDefault="00EB3550" w:rsidP="00BE538F">
      <w:pPr>
        <w:pStyle w:val="ListParagraph"/>
        <w:numPr>
          <w:ilvl w:val="0"/>
          <w:numId w:val="27"/>
        </w:numPr>
        <w:spacing w:after="200" w:line="360" w:lineRule="auto"/>
        <w:rPr>
          <w:rFonts w:ascii="Arial" w:hAnsi="Arial" w:cs="Arial"/>
          <w:sz w:val="24"/>
          <w:szCs w:val="24"/>
        </w:rPr>
      </w:pPr>
      <w:r w:rsidRPr="00BE538F">
        <w:rPr>
          <w:rFonts w:ascii="Arial" w:hAnsi="Arial" w:cs="Arial"/>
          <w:sz w:val="24"/>
          <w:szCs w:val="24"/>
        </w:rPr>
        <w:t>Noise assessment compared to the background, and arising from cooling methods</w:t>
      </w:r>
      <w:r w:rsidR="006F3813" w:rsidRPr="00BE538F">
        <w:rPr>
          <w:rFonts w:ascii="Arial" w:hAnsi="Arial" w:cs="Arial"/>
          <w:sz w:val="24"/>
          <w:szCs w:val="24"/>
        </w:rPr>
        <w:t>;</w:t>
      </w:r>
    </w:p>
    <w:p w14:paraId="11A8284F" w14:textId="6A3E54CD" w:rsidR="00EB3550" w:rsidRPr="00BE538F" w:rsidRDefault="00EB3550" w:rsidP="00BE538F">
      <w:pPr>
        <w:pStyle w:val="ListParagraph"/>
        <w:numPr>
          <w:ilvl w:val="0"/>
          <w:numId w:val="27"/>
        </w:numPr>
        <w:spacing w:after="200" w:line="360" w:lineRule="auto"/>
        <w:rPr>
          <w:rFonts w:ascii="Arial" w:hAnsi="Arial" w:cs="Arial"/>
          <w:sz w:val="24"/>
          <w:szCs w:val="24"/>
        </w:rPr>
      </w:pPr>
      <w:r w:rsidRPr="00BE538F">
        <w:rPr>
          <w:rFonts w:ascii="Arial" w:hAnsi="Arial" w:cs="Arial"/>
          <w:sz w:val="24"/>
          <w:szCs w:val="24"/>
        </w:rPr>
        <w:t>Heating/cooling methods</w:t>
      </w:r>
      <w:r w:rsidR="006F3813" w:rsidRPr="00BE538F">
        <w:rPr>
          <w:rFonts w:ascii="Arial" w:hAnsi="Arial" w:cs="Arial"/>
          <w:sz w:val="24"/>
          <w:szCs w:val="24"/>
        </w:rPr>
        <w:t>;</w:t>
      </w:r>
    </w:p>
    <w:p w14:paraId="7B1F1F82" w14:textId="280CA8A8" w:rsidR="00EB3550" w:rsidRPr="00BE538F" w:rsidRDefault="00EB3550" w:rsidP="00BE538F">
      <w:pPr>
        <w:pStyle w:val="ListParagraph"/>
        <w:numPr>
          <w:ilvl w:val="0"/>
          <w:numId w:val="27"/>
        </w:numPr>
        <w:spacing w:after="200" w:line="360" w:lineRule="auto"/>
        <w:rPr>
          <w:rFonts w:ascii="Arial" w:hAnsi="Arial" w:cs="Arial"/>
          <w:sz w:val="24"/>
          <w:szCs w:val="24"/>
        </w:rPr>
      </w:pPr>
      <w:r w:rsidRPr="00BE538F">
        <w:rPr>
          <w:rFonts w:ascii="Arial" w:hAnsi="Arial" w:cs="Arial"/>
          <w:sz w:val="24"/>
          <w:szCs w:val="24"/>
        </w:rPr>
        <w:t>Lifetime maintenance requirements (site access for equipment/on-site storage)</w:t>
      </w:r>
      <w:r w:rsidR="006F3813" w:rsidRPr="00BE538F">
        <w:rPr>
          <w:rFonts w:ascii="Arial" w:hAnsi="Arial" w:cs="Arial"/>
          <w:sz w:val="24"/>
          <w:szCs w:val="24"/>
        </w:rPr>
        <w:t>;</w:t>
      </w:r>
    </w:p>
    <w:p w14:paraId="7408C2FF" w14:textId="258AD81E" w:rsidR="00EB3550" w:rsidRPr="00BE538F" w:rsidRDefault="00EB3550" w:rsidP="00BE538F">
      <w:pPr>
        <w:pStyle w:val="ListParagraph"/>
        <w:numPr>
          <w:ilvl w:val="0"/>
          <w:numId w:val="27"/>
        </w:numPr>
        <w:spacing w:after="200" w:line="360" w:lineRule="auto"/>
        <w:rPr>
          <w:rFonts w:ascii="Arial" w:hAnsi="Arial" w:cs="Arial"/>
          <w:sz w:val="24"/>
          <w:szCs w:val="24"/>
        </w:rPr>
      </w:pPr>
      <w:r w:rsidRPr="00BE538F">
        <w:rPr>
          <w:rFonts w:ascii="Arial" w:hAnsi="Arial" w:cs="Arial"/>
          <w:sz w:val="24"/>
          <w:szCs w:val="24"/>
        </w:rPr>
        <w:t>Fire safety and emergency procedures</w:t>
      </w:r>
      <w:r w:rsidR="006F3813" w:rsidRPr="00BE538F">
        <w:rPr>
          <w:rFonts w:ascii="Arial" w:hAnsi="Arial" w:cs="Arial"/>
          <w:sz w:val="24"/>
          <w:szCs w:val="24"/>
        </w:rPr>
        <w:t>; and</w:t>
      </w:r>
    </w:p>
    <w:p w14:paraId="0F2DABBF" w14:textId="0452FCFC" w:rsidR="00EB3550" w:rsidRPr="00BE538F" w:rsidRDefault="00EB3550" w:rsidP="00BE538F">
      <w:pPr>
        <w:pStyle w:val="ListParagraph"/>
        <w:numPr>
          <w:ilvl w:val="0"/>
          <w:numId w:val="27"/>
        </w:numPr>
        <w:spacing w:after="200" w:line="360" w:lineRule="auto"/>
        <w:rPr>
          <w:rFonts w:ascii="Arial" w:hAnsi="Arial" w:cs="Arial"/>
          <w:sz w:val="24"/>
          <w:szCs w:val="24"/>
        </w:rPr>
      </w:pPr>
      <w:r w:rsidRPr="00BE538F">
        <w:rPr>
          <w:rFonts w:ascii="Arial" w:hAnsi="Arial" w:cs="Arial"/>
          <w:sz w:val="24"/>
          <w:szCs w:val="24"/>
        </w:rPr>
        <w:t>In the case of colocation with other technologies, risk and hazard analysis should be completed for each technology on its own and the potential impacts on each other.</w:t>
      </w:r>
    </w:p>
    <w:p w14:paraId="662282A5" w14:textId="7D22AC1D"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Although they are not statutory consultees, the emphasis on fire safety and risk has led the National Fire Chiefs’ Council (NFCC) to produce a guidance document on BESS considerations</w:t>
      </w:r>
      <w:r w:rsidR="00906B82" w:rsidRPr="00BE538F">
        <w:rPr>
          <w:rFonts w:ascii="Arial" w:hAnsi="Arial" w:cs="Arial"/>
          <w:sz w:val="24"/>
          <w:szCs w:val="24"/>
        </w:rPr>
        <w:t xml:space="preserve"> </w:t>
      </w:r>
      <w:hyperlink r:id="rId55" w:history="1">
        <w:r w:rsidR="00906B82" w:rsidRPr="00BE538F">
          <w:rPr>
            <w:rStyle w:val="Hyperlink"/>
            <w:rFonts w:ascii="Arial" w:hAnsi="Arial" w:cs="Arial"/>
            <w:sz w:val="24"/>
            <w:szCs w:val="24"/>
          </w:rPr>
          <w:t>(NFCC, 2022)</w:t>
        </w:r>
      </w:hyperlink>
      <w:r w:rsidRPr="00BE538F">
        <w:rPr>
          <w:rFonts w:ascii="Arial" w:hAnsi="Arial" w:cs="Arial"/>
          <w:sz w:val="24"/>
          <w:szCs w:val="24"/>
        </w:rPr>
        <w:t>. This document, though still relevant, is under consultation to provide up-to-date information on current technology and, as such, the specifics of the guidance are expected to change</w:t>
      </w:r>
      <w:r w:rsidR="008927B0" w:rsidRPr="00BE538F">
        <w:rPr>
          <w:rFonts w:ascii="Arial" w:hAnsi="Arial" w:cs="Arial"/>
          <w:sz w:val="24"/>
          <w:szCs w:val="24"/>
        </w:rPr>
        <w:t xml:space="preserve"> </w:t>
      </w:r>
      <w:hyperlink r:id="rId56" w:history="1">
        <w:r w:rsidR="008927B0" w:rsidRPr="00BE538F">
          <w:rPr>
            <w:rStyle w:val="Hyperlink"/>
            <w:rFonts w:ascii="Arial" w:hAnsi="Arial" w:cs="Arial"/>
            <w:sz w:val="24"/>
            <w:szCs w:val="24"/>
          </w:rPr>
          <w:t>(NFCC, 2024)</w:t>
        </w:r>
      </w:hyperlink>
      <w:r w:rsidRPr="00BE538F">
        <w:rPr>
          <w:rFonts w:ascii="Arial" w:hAnsi="Arial" w:cs="Arial"/>
          <w:sz w:val="24"/>
          <w:szCs w:val="24"/>
        </w:rPr>
        <w:t>. Current considerations include:</w:t>
      </w:r>
    </w:p>
    <w:p w14:paraId="54FADFFD" w14:textId="6D8F628D" w:rsidR="00EB3550" w:rsidRPr="00BE538F" w:rsidRDefault="00EB3550" w:rsidP="00BE538F">
      <w:pPr>
        <w:pStyle w:val="ListParagraph"/>
        <w:numPr>
          <w:ilvl w:val="0"/>
          <w:numId w:val="28"/>
        </w:numPr>
        <w:spacing w:after="200" w:line="360" w:lineRule="auto"/>
        <w:rPr>
          <w:rFonts w:ascii="Arial" w:hAnsi="Arial" w:cs="Arial"/>
          <w:sz w:val="24"/>
          <w:szCs w:val="24"/>
        </w:rPr>
      </w:pPr>
      <w:r w:rsidRPr="00BE538F">
        <w:rPr>
          <w:rFonts w:ascii="Arial" w:hAnsi="Arial" w:cs="Arial"/>
          <w:sz w:val="24"/>
          <w:szCs w:val="24"/>
        </w:rPr>
        <w:lastRenderedPageBreak/>
        <w:t>Inclusion of detection, monitoring and fire suppression systems</w:t>
      </w:r>
      <w:r w:rsidR="006F3813" w:rsidRPr="00BE538F">
        <w:rPr>
          <w:rFonts w:ascii="Arial" w:hAnsi="Arial" w:cs="Arial"/>
          <w:sz w:val="24"/>
          <w:szCs w:val="24"/>
        </w:rPr>
        <w:t>;</w:t>
      </w:r>
    </w:p>
    <w:p w14:paraId="376FC3E7" w14:textId="094F85F3" w:rsidR="00EB3550" w:rsidRPr="00BE538F" w:rsidRDefault="00EB3550" w:rsidP="00BE538F">
      <w:pPr>
        <w:pStyle w:val="ListParagraph"/>
        <w:numPr>
          <w:ilvl w:val="0"/>
          <w:numId w:val="28"/>
        </w:numPr>
        <w:spacing w:after="200" w:line="360" w:lineRule="auto"/>
        <w:rPr>
          <w:rFonts w:ascii="Arial" w:hAnsi="Arial" w:cs="Arial"/>
          <w:sz w:val="24"/>
          <w:szCs w:val="24"/>
        </w:rPr>
      </w:pPr>
      <w:r w:rsidRPr="00BE538F">
        <w:rPr>
          <w:rFonts w:ascii="Arial" w:hAnsi="Arial" w:cs="Arial"/>
          <w:sz w:val="24"/>
          <w:szCs w:val="24"/>
        </w:rPr>
        <w:t>Appropriate access for fire services (decided through consultation) and two separate access tracks to account for wind conditions</w:t>
      </w:r>
      <w:r w:rsidR="006F3813" w:rsidRPr="00BE538F">
        <w:rPr>
          <w:rFonts w:ascii="Arial" w:hAnsi="Arial" w:cs="Arial"/>
          <w:sz w:val="24"/>
          <w:szCs w:val="24"/>
        </w:rPr>
        <w:t>;</w:t>
      </w:r>
    </w:p>
    <w:p w14:paraId="55BB4A56" w14:textId="3D42823E" w:rsidR="00EB3550" w:rsidRPr="00BE538F" w:rsidRDefault="00EB3550" w:rsidP="00BE538F">
      <w:pPr>
        <w:pStyle w:val="ListParagraph"/>
        <w:numPr>
          <w:ilvl w:val="0"/>
          <w:numId w:val="28"/>
        </w:numPr>
        <w:spacing w:after="200" w:line="360" w:lineRule="auto"/>
        <w:rPr>
          <w:rFonts w:ascii="Arial" w:hAnsi="Arial" w:cs="Arial"/>
          <w:sz w:val="24"/>
          <w:szCs w:val="24"/>
        </w:rPr>
      </w:pPr>
      <w:r w:rsidRPr="00BE538F">
        <w:rPr>
          <w:rFonts w:ascii="Arial" w:hAnsi="Arial" w:cs="Arial"/>
          <w:sz w:val="24"/>
          <w:szCs w:val="24"/>
        </w:rPr>
        <w:t>Advised inter-unit spacing of 6m unless evidence shows safety for smaller distances</w:t>
      </w:r>
      <w:r w:rsidR="006F3813" w:rsidRPr="00BE538F">
        <w:rPr>
          <w:rFonts w:ascii="Arial" w:hAnsi="Arial" w:cs="Arial"/>
          <w:sz w:val="24"/>
          <w:szCs w:val="24"/>
        </w:rPr>
        <w:t>;</w:t>
      </w:r>
    </w:p>
    <w:p w14:paraId="0D1FA1C8" w14:textId="1F54BCD8" w:rsidR="00EB3550" w:rsidRPr="00BE538F" w:rsidRDefault="00EB3550" w:rsidP="00BE538F">
      <w:pPr>
        <w:pStyle w:val="ListParagraph"/>
        <w:numPr>
          <w:ilvl w:val="0"/>
          <w:numId w:val="28"/>
        </w:numPr>
        <w:spacing w:after="200" w:line="360" w:lineRule="auto"/>
        <w:rPr>
          <w:rFonts w:ascii="Arial" w:hAnsi="Arial" w:cs="Arial"/>
          <w:sz w:val="24"/>
          <w:szCs w:val="24"/>
        </w:rPr>
      </w:pPr>
      <w:r w:rsidRPr="00BE538F">
        <w:rPr>
          <w:rFonts w:ascii="Arial" w:hAnsi="Arial" w:cs="Arial"/>
          <w:sz w:val="24"/>
          <w:szCs w:val="24"/>
        </w:rPr>
        <w:t>Advised spacing of 25m around the site boundary with buildings located upwind as far as possible, reductions should have mitigation measures</w:t>
      </w:r>
      <w:r w:rsidR="006F3813" w:rsidRPr="00BE538F">
        <w:rPr>
          <w:rFonts w:ascii="Arial" w:hAnsi="Arial" w:cs="Arial"/>
          <w:sz w:val="24"/>
          <w:szCs w:val="24"/>
        </w:rPr>
        <w:t>;</w:t>
      </w:r>
    </w:p>
    <w:p w14:paraId="118E35A6" w14:textId="50F7A793" w:rsidR="00EB3550" w:rsidRPr="00BE538F" w:rsidRDefault="00EB3550" w:rsidP="00BE538F">
      <w:pPr>
        <w:pStyle w:val="ListParagraph"/>
        <w:numPr>
          <w:ilvl w:val="0"/>
          <w:numId w:val="28"/>
        </w:numPr>
        <w:spacing w:after="200" w:line="360" w:lineRule="auto"/>
        <w:rPr>
          <w:rFonts w:ascii="Arial" w:hAnsi="Arial" w:cs="Arial"/>
          <w:sz w:val="24"/>
          <w:szCs w:val="24"/>
        </w:rPr>
      </w:pPr>
      <w:r w:rsidRPr="00BE538F">
        <w:rPr>
          <w:rFonts w:ascii="Arial" w:hAnsi="Arial" w:cs="Arial"/>
          <w:sz w:val="24"/>
          <w:szCs w:val="24"/>
        </w:rPr>
        <w:t>Appropriate water supplies and run-off measures to be decided with fire services</w:t>
      </w:r>
      <w:r w:rsidR="006F3813" w:rsidRPr="00BE538F">
        <w:rPr>
          <w:rFonts w:ascii="Arial" w:hAnsi="Arial" w:cs="Arial"/>
          <w:sz w:val="24"/>
          <w:szCs w:val="24"/>
        </w:rPr>
        <w:t>; and</w:t>
      </w:r>
    </w:p>
    <w:p w14:paraId="17ACD96E" w14:textId="77777777" w:rsidR="00EB3550" w:rsidRPr="00BE538F" w:rsidRDefault="00EB3550" w:rsidP="00BE538F">
      <w:pPr>
        <w:pStyle w:val="ListParagraph"/>
        <w:numPr>
          <w:ilvl w:val="0"/>
          <w:numId w:val="28"/>
        </w:numPr>
        <w:spacing w:after="200" w:line="360" w:lineRule="auto"/>
        <w:rPr>
          <w:rFonts w:ascii="Arial" w:hAnsi="Arial" w:cs="Arial"/>
          <w:sz w:val="24"/>
          <w:szCs w:val="24"/>
        </w:rPr>
      </w:pPr>
      <w:r w:rsidRPr="00BE538F">
        <w:rPr>
          <w:rFonts w:ascii="Arial" w:hAnsi="Arial" w:cs="Arial"/>
          <w:sz w:val="24"/>
          <w:szCs w:val="24"/>
        </w:rPr>
        <w:t>Emergency response plan.</w:t>
      </w:r>
    </w:p>
    <w:p w14:paraId="5D1E064F" w14:textId="3A09D188"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The Department for Energy Security and Net Zero (DESNZ) has published health and safety guidance produced by Frazer-Nash including advice on design and planning, predominantly for developers, most of which supports existing advice from the NFCC</w:t>
      </w:r>
      <w:r w:rsidR="006F3F17" w:rsidRPr="00BE538F">
        <w:rPr>
          <w:rFonts w:ascii="Arial" w:hAnsi="Arial" w:cs="Arial"/>
          <w:sz w:val="24"/>
          <w:szCs w:val="24"/>
        </w:rPr>
        <w:t xml:space="preserve"> </w:t>
      </w:r>
      <w:hyperlink r:id="rId57" w:anchor="design-and-planning" w:history="1">
        <w:r w:rsidR="006F3F17" w:rsidRPr="00BE538F">
          <w:rPr>
            <w:rStyle w:val="Hyperlink"/>
            <w:rFonts w:ascii="Arial" w:hAnsi="Arial" w:cs="Arial"/>
            <w:sz w:val="24"/>
            <w:szCs w:val="24"/>
          </w:rPr>
          <w:t>(DESNZ, 2024)</w:t>
        </w:r>
      </w:hyperlink>
      <w:r w:rsidRPr="00BE538F">
        <w:rPr>
          <w:rFonts w:ascii="Arial" w:hAnsi="Arial" w:cs="Arial"/>
          <w:sz w:val="24"/>
          <w:szCs w:val="24"/>
        </w:rPr>
        <w:t>.</w:t>
      </w:r>
    </w:p>
    <w:p w14:paraId="63E4EB20" w14:textId="77777777" w:rsidR="00EB3550" w:rsidRPr="00BE538F" w:rsidRDefault="00EB3550" w:rsidP="00527B0F">
      <w:pPr>
        <w:pStyle w:val="Heading2"/>
        <w:rPr>
          <w:rFonts w:ascii="Arial" w:hAnsi="Arial" w:cs="Arial"/>
        </w:rPr>
      </w:pPr>
      <w:bookmarkStart w:id="63" w:name="_Toc188013967"/>
      <w:bookmarkStart w:id="64" w:name="_Toc198879973"/>
      <w:r w:rsidRPr="00BE538F">
        <w:rPr>
          <w:rFonts w:ascii="Arial" w:hAnsi="Arial" w:cs="Arial"/>
        </w:rPr>
        <w:t>6.2 Advice from the four nations</w:t>
      </w:r>
      <w:bookmarkEnd w:id="63"/>
      <w:bookmarkEnd w:id="64"/>
    </w:p>
    <w:p w14:paraId="601D1014" w14:textId="1A6DEB6D"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In England, the Renewable and Low Carbon Energy Guidance is only focused on the requirements regarding fire safety, linking to the published guidance from the NFCC.</w:t>
      </w:r>
      <w:r w:rsidR="006F3813" w:rsidRPr="00BE538F" w:rsidDel="006F3813">
        <w:rPr>
          <w:rFonts w:ascii="Arial" w:hAnsi="Arial" w:cs="Arial"/>
          <w:sz w:val="24"/>
          <w:szCs w:val="24"/>
        </w:rPr>
        <w:t xml:space="preserve"> </w:t>
      </w:r>
    </w:p>
    <w:p w14:paraId="55FEA6DB"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Our research found no published guidance from Wales, Scotland or Northern Ireland for planners regarding BESS.</w:t>
      </w:r>
    </w:p>
    <w:p w14:paraId="2554065D" w14:textId="68C919DD" w:rsidR="00EB3550" w:rsidRPr="00BE538F" w:rsidRDefault="002D3A70" w:rsidP="00BE538F">
      <w:pPr>
        <w:pStyle w:val="Heading1"/>
        <w:spacing w:line="276" w:lineRule="auto"/>
        <w:rPr>
          <w:rFonts w:ascii="Arial" w:hAnsi="Arial" w:cs="Arial"/>
        </w:rPr>
      </w:pPr>
      <w:bookmarkStart w:id="65" w:name="_Toc188013968"/>
      <w:bookmarkStart w:id="66" w:name="_Toc198879974"/>
      <w:r w:rsidRPr="00BE538F">
        <w:rPr>
          <w:rFonts w:ascii="Arial" w:hAnsi="Arial" w:cs="Arial"/>
        </w:rPr>
        <w:t xml:space="preserve">7. </w:t>
      </w:r>
      <w:r w:rsidR="00EB3550" w:rsidRPr="00BE538F">
        <w:rPr>
          <w:rFonts w:ascii="Arial" w:hAnsi="Arial" w:cs="Arial"/>
        </w:rPr>
        <w:t>Hydropower</w:t>
      </w:r>
      <w:bookmarkEnd w:id="65"/>
      <w:bookmarkEnd w:id="66"/>
    </w:p>
    <w:p w14:paraId="2384D95B" w14:textId="77777777" w:rsidR="00EB3550" w:rsidRPr="00BE538F" w:rsidRDefault="00EB3550" w:rsidP="00527B0F">
      <w:pPr>
        <w:pStyle w:val="Heading2"/>
        <w:rPr>
          <w:rFonts w:ascii="Arial" w:hAnsi="Arial" w:cs="Arial"/>
        </w:rPr>
      </w:pPr>
      <w:bookmarkStart w:id="67" w:name="_Toc188013969"/>
      <w:bookmarkStart w:id="68" w:name="_Toc198879975"/>
      <w:r w:rsidRPr="00BE538F">
        <w:rPr>
          <w:rFonts w:ascii="Arial" w:hAnsi="Arial" w:cs="Arial"/>
        </w:rPr>
        <w:t>7.1 England</w:t>
      </w:r>
      <w:bookmarkEnd w:id="67"/>
      <w:bookmarkEnd w:id="68"/>
    </w:p>
    <w:p w14:paraId="3A933B0C"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Hydropower projects with a capacity of up to 50 MW are determined by the relevant LPA. Larger projects fall under the NSIP regime.</w:t>
      </w:r>
    </w:p>
    <w:p w14:paraId="3D4CFDAC"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Run-of-river hydropower in England requires the following licences from the Environment Agency:</w:t>
      </w:r>
    </w:p>
    <w:p w14:paraId="4DAC7FCF" w14:textId="3470F2A3" w:rsidR="00EB3550" w:rsidRPr="00BE538F" w:rsidRDefault="00EB3550" w:rsidP="00BE538F">
      <w:pPr>
        <w:pStyle w:val="ListParagraph"/>
        <w:numPr>
          <w:ilvl w:val="0"/>
          <w:numId w:val="2"/>
        </w:numPr>
        <w:spacing w:after="200" w:line="360" w:lineRule="auto"/>
        <w:rPr>
          <w:rFonts w:ascii="Arial" w:hAnsi="Arial" w:cs="Arial"/>
          <w:sz w:val="24"/>
          <w:szCs w:val="24"/>
        </w:rPr>
      </w:pPr>
      <w:r w:rsidRPr="00BE538F">
        <w:rPr>
          <w:rFonts w:ascii="Arial" w:hAnsi="Arial" w:cs="Arial"/>
          <w:sz w:val="24"/>
          <w:szCs w:val="24"/>
        </w:rPr>
        <w:t>Abstraction licence</w:t>
      </w:r>
      <w:r w:rsidR="006F3813" w:rsidRPr="00BE538F">
        <w:rPr>
          <w:rFonts w:ascii="Arial" w:hAnsi="Arial" w:cs="Arial"/>
          <w:sz w:val="24"/>
          <w:szCs w:val="24"/>
        </w:rPr>
        <w:t>;</w:t>
      </w:r>
    </w:p>
    <w:p w14:paraId="6DAFF73F" w14:textId="19BF54D9" w:rsidR="00EB3550" w:rsidRPr="00BE538F" w:rsidRDefault="00EB3550" w:rsidP="00BE538F">
      <w:pPr>
        <w:pStyle w:val="ListParagraph"/>
        <w:numPr>
          <w:ilvl w:val="0"/>
          <w:numId w:val="2"/>
        </w:numPr>
        <w:spacing w:after="200" w:line="360" w:lineRule="auto"/>
        <w:rPr>
          <w:rFonts w:ascii="Arial" w:hAnsi="Arial" w:cs="Arial"/>
          <w:sz w:val="24"/>
          <w:szCs w:val="24"/>
        </w:rPr>
      </w:pPr>
      <w:r w:rsidRPr="00BE538F">
        <w:rPr>
          <w:rFonts w:ascii="Arial" w:hAnsi="Arial" w:cs="Arial"/>
          <w:sz w:val="24"/>
          <w:szCs w:val="24"/>
        </w:rPr>
        <w:t>Impounding licence</w:t>
      </w:r>
      <w:r w:rsidR="006F3813" w:rsidRPr="00BE538F">
        <w:rPr>
          <w:rFonts w:ascii="Arial" w:hAnsi="Arial" w:cs="Arial"/>
          <w:sz w:val="24"/>
          <w:szCs w:val="24"/>
        </w:rPr>
        <w:t>;</w:t>
      </w:r>
    </w:p>
    <w:p w14:paraId="12AD1DEE" w14:textId="7BE328D9" w:rsidR="00EB3550" w:rsidRPr="00BE538F" w:rsidRDefault="00EB3550" w:rsidP="00BE538F">
      <w:pPr>
        <w:pStyle w:val="ListParagraph"/>
        <w:numPr>
          <w:ilvl w:val="0"/>
          <w:numId w:val="2"/>
        </w:numPr>
        <w:spacing w:after="200" w:line="360" w:lineRule="auto"/>
        <w:rPr>
          <w:rFonts w:ascii="Arial" w:hAnsi="Arial" w:cs="Arial"/>
          <w:sz w:val="24"/>
          <w:szCs w:val="24"/>
        </w:rPr>
      </w:pPr>
      <w:r w:rsidRPr="00BE538F">
        <w:rPr>
          <w:rFonts w:ascii="Arial" w:hAnsi="Arial" w:cs="Arial"/>
          <w:sz w:val="24"/>
          <w:szCs w:val="24"/>
        </w:rPr>
        <w:t>Fish pass approval (if a fish pass will be installed/modified in the scheme)</w:t>
      </w:r>
      <w:r w:rsidR="006F3813" w:rsidRPr="00BE538F">
        <w:rPr>
          <w:rFonts w:ascii="Arial" w:hAnsi="Arial" w:cs="Arial"/>
          <w:sz w:val="24"/>
          <w:szCs w:val="24"/>
        </w:rPr>
        <w:t>; and</w:t>
      </w:r>
    </w:p>
    <w:p w14:paraId="1661F89F" w14:textId="5632C22F" w:rsidR="00EB3550" w:rsidRPr="00BE538F" w:rsidRDefault="00EB3550" w:rsidP="00BE538F">
      <w:pPr>
        <w:pStyle w:val="ListParagraph"/>
        <w:numPr>
          <w:ilvl w:val="0"/>
          <w:numId w:val="2"/>
        </w:numPr>
        <w:spacing w:after="200" w:line="360" w:lineRule="auto"/>
        <w:rPr>
          <w:rFonts w:ascii="Arial" w:hAnsi="Arial" w:cs="Arial"/>
          <w:sz w:val="24"/>
          <w:szCs w:val="24"/>
        </w:rPr>
      </w:pPr>
      <w:r w:rsidRPr="00BE538F">
        <w:rPr>
          <w:rFonts w:ascii="Arial" w:hAnsi="Arial" w:cs="Arial"/>
          <w:sz w:val="24"/>
          <w:szCs w:val="24"/>
        </w:rPr>
        <w:t>Flood risk activity/land drainage consent</w:t>
      </w:r>
      <w:r w:rsidR="00DC0F8F" w:rsidRPr="00BE538F">
        <w:rPr>
          <w:rFonts w:ascii="Arial" w:hAnsi="Arial" w:cs="Arial"/>
          <w:sz w:val="24"/>
          <w:szCs w:val="24"/>
        </w:rPr>
        <w:t xml:space="preserve"> </w:t>
      </w:r>
      <w:hyperlink r:id="rId58" w:history="1">
        <w:r w:rsidR="00DC0F8F" w:rsidRPr="00BE538F">
          <w:rPr>
            <w:rStyle w:val="Hyperlink"/>
            <w:rFonts w:ascii="Arial" w:hAnsi="Arial" w:cs="Arial"/>
            <w:sz w:val="24"/>
            <w:szCs w:val="24"/>
          </w:rPr>
          <w:t>(Environment Agency, 2023)</w:t>
        </w:r>
      </w:hyperlink>
      <w:r w:rsidRPr="00BE538F">
        <w:rPr>
          <w:rFonts w:ascii="Arial" w:hAnsi="Arial" w:cs="Arial"/>
          <w:sz w:val="24"/>
          <w:szCs w:val="24"/>
        </w:rPr>
        <w:t>.</w:t>
      </w:r>
    </w:p>
    <w:p w14:paraId="478BB857"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lastRenderedPageBreak/>
        <w:t>Other points of consideration are:</w:t>
      </w:r>
    </w:p>
    <w:p w14:paraId="562BAD82" w14:textId="71B55B36" w:rsidR="00EB3550" w:rsidRPr="00BE538F" w:rsidRDefault="00EB3550" w:rsidP="00BE538F">
      <w:pPr>
        <w:pStyle w:val="ListParagraph"/>
        <w:numPr>
          <w:ilvl w:val="0"/>
          <w:numId w:val="3"/>
        </w:numPr>
        <w:spacing w:after="200" w:line="360" w:lineRule="auto"/>
        <w:rPr>
          <w:rFonts w:ascii="Arial" w:hAnsi="Arial" w:cs="Arial"/>
          <w:sz w:val="24"/>
          <w:szCs w:val="24"/>
        </w:rPr>
      </w:pPr>
      <w:r w:rsidRPr="00BE538F">
        <w:rPr>
          <w:rFonts w:ascii="Arial" w:hAnsi="Arial" w:cs="Arial"/>
          <w:sz w:val="24"/>
          <w:szCs w:val="24"/>
        </w:rPr>
        <w:t>Co-location with protected areas (may require consultation with Natural England)</w:t>
      </w:r>
      <w:r w:rsidR="00DC0F8F" w:rsidRPr="00BE538F">
        <w:rPr>
          <w:rFonts w:ascii="Arial" w:hAnsi="Arial" w:cs="Arial"/>
          <w:sz w:val="24"/>
          <w:szCs w:val="24"/>
        </w:rPr>
        <w:t>;</w:t>
      </w:r>
    </w:p>
    <w:p w14:paraId="64AC2E23" w14:textId="14E40205" w:rsidR="00EB3550" w:rsidRPr="00BE538F" w:rsidRDefault="00EB3550" w:rsidP="00BE538F">
      <w:pPr>
        <w:pStyle w:val="ListParagraph"/>
        <w:numPr>
          <w:ilvl w:val="0"/>
          <w:numId w:val="3"/>
        </w:numPr>
        <w:spacing w:after="200" w:line="360" w:lineRule="auto"/>
        <w:rPr>
          <w:rFonts w:ascii="Arial" w:hAnsi="Arial" w:cs="Arial"/>
          <w:sz w:val="24"/>
          <w:szCs w:val="24"/>
        </w:rPr>
      </w:pPr>
      <w:r w:rsidRPr="00BE538F">
        <w:rPr>
          <w:rFonts w:ascii="Arial" w:hAnsi="Arial" w:cs="Arial"/>
          <w:sz w:val="24"/>
          <w:szCs w:val="24"/>
        </w:rPr>
        <w:t>Powerhouse</w:t>
      </w:r>
      <w:r w:rsidR="001B40F0" w:rsidRPr="00BE538F">
        <w:rPr>
          <w:rFonts w:ascii="Arial" w:hAnsi="Arial" w:cs="Arial"/>
          <w:sz w:val="24"/>
          <w:szCs w:val="24"/>
        </w:rPr>
        <w:t>:</w:t>
      </w:r>
    </w:p>
    <w:p w14:paraId="3C72F3B8" w14:textId="675B3D60" w:rsidR="00EB3550" w:rsidRPr="00BE538F" w:rsidRDefault="00EB3550" w:rsidP="00BE538F">
      <w:pPr>
        <w:pStyle w:val="ListParagraph"/>
        <w:numPr>
          <w:ilvl w:val="1"/>
          <w:numId w:val="3"/>
        </w:numPr>
        <w:spacing w:after="200" w:line="360" w:lineRule="auto"/>
        <w:rPr>
          <w:rFonts w:ascii="Arial" w:hAnsi="Arial" w:cs="Arial"/>
          <w:sz w:val="24"/>
          <w:szCs w:val="24"/>
        </w:rPr>
      </w:pPr>
      <w:r w:rsidRPr="00BE538F">
        <w:rPr>
          <w:rFonts w:ascii="Arial" w:hAnsi="Arial" w:cs="Arial"/>
          <w:sz w:val="24"/>
          <w:szCs w:val="24"/>
        </w:rPr>
        <w:t>Visual impact assessment (size, visibility, noise, design, finish)</w:t>
      </w:r>
      <w:r w:rsidR="001B40F0" w:rsidRPr="00BE538F">
        <w:rPr>
          <w:rFonts w:ascii="Arial" w:hAnsi="Arial" w:cs="Arial"/>
          <w:sz w:val="24"/>
          <w:szCs w:val="24"/>
        </w:rPr>
        <w:t>; and</w:t>
      </w:r>
    </w:p>
    <w:p w14:paraId="20FCAF1D" w14:textId="77777777" w:rsidR="00EB3550" w:rsidRPr="00BE538F" w:rsidRDefault="00EB3550" w:rsidP="00BE538F">
      <w:pPr>
        <w:pStyle w:val="ListParagraph"/>
        <w:numPr>
          <w:ilvl w:val="1"/>
          <w:numId w:val="3"/>
        </w:numPr>
        <w:spacing w:after="200" w:line="360" w:lineRule="auto"/>
        <w:rPr>
          <w:rFonts w:ascii="Arial" w:hAnsi="Arial" w:cs="Arial"/>
          <w:sz w:val="24"/>
          <w:szCs w:val="24"/>
        </w:rPr>
      </w:pPr>
      <w:r w:rsidRPr="00BE538F">
        <w:rPr>
          <w:rFonts w:ascii="Arial" w:hAnsi="Arial" w:cs="Arial"/>
          <w:sz w:val="24"/>
          <w:szCs w:val="24"/>
        </w:rPr>
        <w:t>Heritage impact if using a historic powerhouse.</w:t>
      </w:r>
    </w:p>
    <w:p w14:paraId="18D6BA23" w14:textId="77777777" w:rsidR="00EB3550" w:rsidRPr="00BE538F" w:rsidRDefault="00EB3550" w:rsidP="00527B0F">
      <w:pPr>
        <w:pStyle w:val="Heading2"/>
        <w:rPr>
          <w:rFonts w:ascii="Arial" w:hAnsi="Arial" w:cs="Arial"/>
        </w:rPr>
      </w:pPr>
      <w:bookmarkStart w:id="69" w:name="_Toc188013970"/>
      <w:bookmarkStart w:id="70" w:name="_Toc198879976"/>
      <w:r w:rsidRPr="00BE538F">
        <w:rPr>
          <w:rFonts w:ascii="Arial" w:hAnsi="Arial" w:cs="Arial"/>
        </w:rPr>
        <w:t>7.2 Wales</w:t>
      </w:r>
      <w:bookmarkEnd w:id="69"/>
      <w:bookmarkEnd w:id="70"/>
    </w:p>
    <w:p w14:paraId="00AF98F3"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Under the Infrastructure Wales Act 2024, hydropower projects with a capacity of up to 50 MW are determined by LPAs. Applications for projects between 50 MW and 350 MW are made directly to the Welsh Ministers under the DNS regime and projects over 350 MW are consented by the Secretary of State under the NSIP process.</w:t>
      </w:r>
    </w:p>
    <w:p w14:paraId="6B8B59A6" w14:textId="5342A5E5"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Constructing a hydropower plant requires several licences, each of which is granted by NRW</w:t>
      </w:r>
      <w:r w:rsidR="006B6DAE" w:rsidRPr="00BE538F">
        <w:rPr>
          <w:rFonts w:ascii="Arial" w:hAnsi="Arial" w:cs="Arial"/>
          <w:sz w:val="24"/>
          <w:szCs w:val="24"/>
        </w:rPr>
        <w:t xml:space="preserve"> </w:t>
      </w:r>
      <w:hyperlink r:id="rId59" w:history="1">
        <w:r w:rsidR="006B6DAE" w:rsidRPr="00BE538F">
          <w:rPr>
            <w:rStyle w:val="Hyperlink"/>
            <w:rFonts w:ascii="Arial" w:hAnsi="Arial" w:cs="Arial"/>
            <w:sz w:val="24"/>
            <w:szCs w:val="24"/>
          </w:rPr>
          <w:t>(NWR, 2023)</w:t>
        </w:r>
      </w:hyperlink>
      <w:r w:rsidRPr="00BE538F">
        <w:rPr>
          <w:rFonts w:ascii="Arial" w:hAnsi="Arial" w:cs="Arial"/>
          <w:sz w:val="24"/>
          <w:szCs w:val="24"/>
        </w:rPr>
        <w:t>:</w:t>
      </w:r>
    </w:p>
    <w:p w14:paraId="5BFB180F" w14:textId="2BEEACD9" w:rsidR="00EB3550" w:rsidRPr="00BE538F" w:rsidRDefault="00EB3550" w:rsidP="00BE538F">
      <w:pPr>
        <w:pStyle w:val="ListParagraph"/>
        <w:numPr>
          <w:ilvl w:val="0"/>
          <w:numId w:val="4"/>
        </w:numPr>
        <w:spacing w:after="200" w:line="360" w:lineRule="auto"/>
        <w:rPr>
          <w:rFonts w:ascii="Arial" w:hAnsi="Arial" w:cs="Arial"/>
          <w:sz w:val="24"/>
          <w:szCs w:val="24"/>
        </w:rPr>
      </w:pPr>
      <w:r w:rsidRPr="00BE538F">
        <w:rPr>
          <w:rFonts w:ascii="Arial" w:hAnsi="Arial" w:cs="Arial"/>
          <w:sz w:val="24"/>
          <w:szCs w:val="24"/>
        </w:rPr>
        <w:t>Abstraction licence</w:t>
      </w:r>
      <w:r w:rsidR="008E1CB9" w:rsidRPr="00BE538F">
        <w:rPr>
          <w:rFonts w:ascii="Arial" w:hAnsi="Arial" w:cs="Arial"/>
          <w:sz w:val="24"/>
          <w:szCs w:val="24"/>
        </w:rPr>
        <w:t>;</w:t>
      </w:r>
    </w:p>
    <w:p w14:paraId="3232A700" w14:textId="286A8CD5" w:rsidR="00EB3550" w:rsidRPr="00BE538F" w:rsidRDefault="00EB3550" w:rsidP="00BE538F">
      <w:pPr>
        <w:pStyle w:val="ListParagraph"/>
        <w:numPr>
          <w:ilvl w:val="0"/>
          <w:numId w:val="4"/>
        </w:numPr>
        <w:spacing w:after="200" w:line="360" w:lineRule="auto"/>
        <w:rPr>
          <w:rFonts w:ascii="Arial" w:hAnsi="Arial" w:cs="Arial"/>
          <w:sz w:val="24"/>
          <w:szCs w:val="24"/>
        </w:rPr>
      </w:pPr>
      <w:r w:rsidRPr="00BE538F">
        <w:rPr>
          <w:rFonts w:ascii="Arial" w:hAnsi="Arial" w:cs="Arial"/>
          <w:sz w:val="24"/>
          <w:szCs w:val="24"/>
        </w:rPr>
        <w:t>Impoundment licence</w:t>
      </w:r>
      <w:r w:rsidR="008E1CB9" w:rsidRPr="00BE538F">
        <w:rPr>
          <w:rFonts w:ascii="Arial" w:hAnsi="Arial" w:cs="Arial"/>
          <w:sz w:val="24"/>
          <w:szCs w:val="24"/>
        </w:rPr>
        <w:t>;</w:t>
      </w:r>
    </w:p>
    <w:p w14:paraId="5C3D6A9D" w14:textId="1C83F799" w:rsidR="00EB3550" w:rsidRPr="00BE538F" w:rsidRDefault="00EB3550" w:rsidP="00BE538F">
      <w:pPr>
        <w:pStyle w:val="ListParagraph"/>
        <w:numPr>
          <w:ilvl w:val="0"/>
          <w:numId w:val="4"/>
        </w:numPr>
        <w:spacing w:after="200" w:line="360" w:lineRule="auto"/>
        <w:rPr>
          <w:rFonts w:ascii="Arial" w:hAnsi="Arial" w:cs="Arial"/>
          <w:sz w:val="24"/>
          <w:szCs w:val="24"/>
        </w:rPr>
      </w:pPr>
      <w:r w:rsidRPr="00BE538F">
        <w:rPr>
          <w:rFonts w:ascii="Arial" w:hAnsi="Arial" w:cs="Arial"/>
          <w:sz w:val="24"/>
          <w:szCs w:val="24"/>
        </w:rPr>
        <w:t>Fish pass approval</w:t>
      </w:r>
      <w:r w:rsidR="008E1CB9" w:rsidRPr="00BE538F">
        <w:rPr>
          <w:rFonts w:ascii="Arial" w:hAnsi="Arial" w:cs="Arial"/>
          <w:sz w:val="24"/>
          <w:szCs w:val="24"/>
        </w:rPr>
        <w:t>; and</w:t>
      </w:r>
    </w:p>
    <w:p w14:paraId="3B2FEB0B" w14:textId="1CF22294" w:rsidR="00EB3550" w:rsidRPr="00BE538F" w:rsidRDefault="00EB3550" w:rsidP="00BE538F">
      <w:pPr>
        <w:pStyle w:val="ListParagraph"/>
        <w:numPr>
          <w:ilvl w:val="0"/>
          <w:numId w:val="4"/>
        </w:numPr>
        <w:spacing w:after="200" w:line="360" w:lineRule="auto"/>
        <w:rPr>
          <w:rFonts w:ascii="Arial" w:hAnsi="Arial" w:cs="Arial"/>
          <w:sz w:val="24"/>
          <w:szCs w:val="24"/>
        </w:rPr>
      </w:pPr>
      <w:r w:rsidRPr="00BE538F">
        <w:rPr>
          <w:rFonts w:ascii="Arial" w:hAnsi="Arial" w:cs="Arial"/>
          <w:sz w:val="24"/>
          <w:szCs w:val="24"/>
        </w:rPr>
        <w:t>Flood risk activity permit.</w:t>
      </w:r>
    </w:p>
    <w:p w14:paraId="3858CEF3"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An additional ordinary watercourse consent is needed if permanent or temporary works are in, or adjacent to, an ordinary watercourse (a designation for upland tributaries of larger rivers). This is to be assessed and granted by the lead local flood authority within the local authority.</w:t>
      </w:r>
    </w:p>
    <w:p w14:paraId="420824D5" w14:textId="6479EBE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NRW is a statutory consultee for LPAs when assessing the environmental impacts of hydropower schemes and suggests several impact considerations</w:t>
      </w:r>
      <w:r w:rsidR="00E81BE9" w:rsidRPr="00BE538F">
        <w:rPr>
          <w:rFonts w:ascii="Arial" w:hAnsi="Arial" w:cs="Arial"/>
          <w:sz w:val="24"/>
          <w:szCs w:val="24"/>
        </w:rPr>
        <w:t xml:space="preserve"> </w:t>
      </w:r>
      <w:hyperlink r:id="rId60" w:history="1">
        <w:r w:rsidR="00E81BE9" w:rsidRPr="00BE538F">
          <w:rPr>
            <w:rStyle w:val="Hyperlink"/>
            <w:rFonts w:ascii="Arial" w:hAnsi="Arial" w:cs="Arial"/>
            <w:sz w:val="24"/>
            <w:szCs w:val="24"/>
          </w:rPr>
          <w:t>(NRW, 2023)</w:t>
        </w:r>
      </w:hyperlink>
      <w:r w:rsidRPr="00BE538F">
        <w:rPr>
          <w:rFonts w:ascii="Arial" w:hAnsi="Arial" w:cs="Arial"/>
          <w:sz w:val="24"/>
          <w:szCs w:val="24"/>
        </w:rPr>
        <w:t>:</w:t>
      </w:r>
    </w:p>
    <w:p w14:paraId="4D79D014" w14:textId="13906444" w:rsidR="00EB3550" w:rsidRPr="00BE538F" w:rsidRDefault="00EB3550" w:rsidP="00BE538F">
      <w:pPr>
        <w:pStyle w:val="ListParagraph"/>
        <w:numPr>
          <w:ilvl w:val="0"/>
          <w:numId w:val="5"/>
        </w:numPr>
        <w:spacing w:after="200" w:line="360" w:lineRule="auto"/>
        <w:rPr>
          <w:rFonts w:ascii="Arial" w:hAnsi="Arial" w:cs="Arial"/>
          <w:sz w:val="24"/>
          <w:szCs w:val="24"/>
        </w:rPr>
      </w:pPr>
      <w:r w:rsidRPr="00BE538F">
        <w:rPr>
          <w:rFonts w:ascii="Arial" w:hAnsi="Arial" w:cs="Arial"/>
          <w:sz w:val="24"/>
          <w:szCs w:val="24"/>
        </w:rPr>
        <w:t>Physical building appearance</w:t>
      </w:r>
      <w:r w:rsidR="008B4C1C" w:rsidRPr="00BE538F">
        <w:rPr>
          <w:rFonts w:ascii="Arial" w:hAnsi="Arial" w:cs="Arial"/>
          <w:sz w:val="24"/>
          <w:szCs w:val="24"/>
        </w:rPr>
        <w:t>;</w:t>
      </w:r>
    </w:p>
    <w:p w14:paraId="55305ACB" w14:textId="25634225" w:rsidR="00EB3550" w:rsidRPr="00BE538F" w:rsidRDefault="00EB3550" w:rsidP="00BE538F">
      <w:pPr>
        <w:pStyle w:val="ListParagraph"/>
        <w:numPr>
          <w:ilvl w:val="0"/>
          <w:numId w:val="5"/>
        </w:numPr>
        <w:spacing w:after="200" w:line="360" w:lineRule="auto"/>
        <w:rPr>
          <w:rFonts w:ascii="Arial" w:hAnsi="Arial" w:cs="Arial"/>
          <w:sz w:val="24"/>
          <w:szCs w:val="24"/>
        </w:rPr>
      </w:pPr>
      <w:r w:rsidRPr="00BE538F">
        <w:rPr>
          <w:rFonts w:ascii="Arial" w:hAnsi="Arial" w:cs="Arial"/>
          <w:sz w:val="24"/>
          <w:szCs w:val="24"/>
        </w:rPr>
        <w:t>Ecology</w:t>
      </w:r>
      <w:r w:rsidR="008B4C1C" w:rsidRPr="00BE538F">
        <w:rPr>
          <w:rFonts w:ascii="Arial" w:hAnsi="Arial" w:cs="Arial"/>
          <w:sz w:val="24"/>
          <w:szCs w:val="24"/>
        </w:rPr>
        <w:t>;</w:t>
      </w:r>
    </w:p>
    <w:p w14:paraId="3B17FB2F" w14:textId="2E6A55EE" w:rsidR="00EB3550" w:rsidRPr="00BE538F" w:rsidRDefault="00EB3550" w:rsidP="00BE538F">
      <w:pPr>
        <w:pStyle w:val="ListParagraph"/>
        <w:numPr>
          <w:ilvl w:val="0"/>
          <w:numId w:val="5"/>
        </w:numPr>
        <w:spacing w:after="200" w:line="360" w:lineRule="auto"/>
        <w:rPr>
          <w:rFonts w:ascii="Arial" w:hAnsi="Arial" w:cs="Arial"/>
          <w:sz w:val="24"/>
          <w:szCs w:val="24"/>
        </w:rPr>
      </w:pPr>
      <w:r w:rsidRPr="00BE538F">
        <w:rPr>
          <w:rFonts w:ascii="Arial" w:hAnsi="Arial" w:cs="Arial"/>
          <w:sz w:val="24"/>
          <w:szCs w:val="24"/>
        </w:rPr>
        <w:t>River morphology</w:t>
      </w:r>
      <w:r w:rsidR="008B4C1C" w:rsidRPr="00BE538F">
        <w:rPr>
          <w:rFonts w:ascii="Arial" w:hAnsi="Arial" w:cs="Arial"/>
          <w:sz w:val="24"/>
          <w:szCs w:val="24"/>
        </w:rPr>
        <w:t>; and</w:t>
      </w:r>
    </w:p>
    <w:p w14:paraId="220C00F5" w14:textId="58DECD30" w:rsidR="00EB3550" w:rsidRPr="00BE538F" w:rsidRDefault="00EB3550" w:rsidP="00BE538F">
      <w:pPr>
        <w:pStyle w:val="ListParagraph"/>
        <w:numPr>
          <w:ilvl w:val="0"/>
          <w:numId w:val="5"/>
        </w:numPr>
        <w:spacing w:after="200" w:line="360" w:lineRule="auto"/>
        <w:rPr>
          <w:rFonts w:ascii="Arial" w:hAnsi="Arial" w:cs="Arial"/>
          <w:sz w:val="24"/>
          <w:szCs w:val="24"/>
        </w:rPr>
      </w:pPr>
      <w:r w:rsidRPr="00BE538F">
        <w:rPr>
          <w:rFonts w:ascii="Arial" w:hAnsi="Arial" w:cs="Arial"/>
          <w:sz w:val="24"/>
          <w:szCs w:val="24"/>
        </w:rPr>
        <w:t>Amenity.</w:t>
      </w:r>
    </w:p>
    <w:p w14:paraId="418D8A66" w14:textId="77777777" w:rsidR="00EB3550" w:rsidRPr="00BE538F" w:rsidRDefault="00EB3550" w:rsidP="00527B0F">
      <w:pPr>
        <w:pStyle w:val="Heading2"/>
        <w:rPr>
          <w:rFonts w:ascii="Arial" w:hAnsi="Arial" w:cs="Arial"/>
        </w:rPr>
      </w:pPr>
      <w:bookmarkStart w:id="71" w:name="_Toc188013971"/>
      <w:bookmarkStart w:id="72" w:name="_Toc198879977"/>
      <w:r w:rsidRPr="00BE538F">
        <w:rPr>
          <w:rFonts w:ascii="Arial" w:hAnsi="Arial" w:cs="Arial"/>
        </w:rPr>
        <w:lastRenderedPageBreak/>
        <w:t>7.3 Scotland</w:t>
      </w:r>
      <w:bookmarkEnd w:id="71"/>
      <w:bookmarkEnd w:id="72"/>
    </w:p>
    <w:p w14:paraId="6E034B43"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Hydropower projects with a capacity of up to 50 MW are determined by the relevant LPA. Larger projects must seek consent from Scottish Ministers through the Scottish Government's Energy Consent Unit.</w:t>
      </w:r>
    </w:p>
    <w:p w14:paraId="0F6B2BE0" w14:textId="6D1FC8AD"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The primary licence required in Scotland is the Water Environment (Controlled Activities) Regulations (commonly referred to as a CAR licence), which is controlled by Scottish Environment Protection Agency (SEPA). SEPA has produced a guidance document for developers on how to obtain a CAR licence for their project</w:t>
      </w:r>
      <w:r w:rsidR="00E81BE9" w:rsidRPr="00BE538F">
        <w:rPr>
          <w:rFonts w:ascii="Arial" w:hAnsi="Arial" w:cs="Arial"/>
          <w:sz w:val="24"/>
          <w:szCs w:val="24"/>
        </w:rPr>
        <w:t xml:space="preserve"> </w:t>
      </w:r>
      <w:hyperlink r:id="rId61" w:history="1">
        <w:r w:rsidR="00E81BE9" w:rsidRPr="00BE538F">
          <w:rPr>
            <w:rStyle w:val="Hyperlink"/>
            <w:rFonts w:ascii="Arial" w:hAnsi="Arial" w:cs="Arial"/>
            <w:sz w:val="24"/>
            <w:szCs w:val="24"/>
          </w:rPr>
          <w:t>(SEPA, 2015)</w:t>
        </w:r>
      </w:hyperlink>
      <w:r w:rsidRPr="00BE538F">
        <w:rPr>
          <w:rFonts w:ascii="Arial" w:hAnsi="Arial" w:cs="Arial"/>
          <w:sz w:val="24"/>
          <w:szCs w:val="24"/>
        </w:rPr>
        <w:t>. SEPA is also responsible as a consultee for ensuring that spatial plans have regard to river basin management plans.</w:t>
      </w:r>
    </w:p>
    <w:p w14:paraId="1D7EDE75" w14:textId="0ED567B8"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The Scottish Government provide the following planning guidance on hydro schemes</w:t>
      </w:r>
      <w:r w:rsidR="00306FED" w:rsidRPr="00BE538F">
        <w:rPr>
          <w:rFonts w:ascii="Arial" w:hAnsi="Arial" w:cs="Arial"/>
          <w:sz w:val="24"/>
          <w:szCs w:val="24"/>
        </w:rPr>
        <w:t xml:space="preserve"> </w:t>
      </w:r>
      <w:hyperlink r:id="rId62" w:history="1">
        <w:r w:rsidR="00306FED" w:rsidRPr="00BE538F">
          <w:rPr>
            <w:rStyle w:val="Hyperlink"/>
            <w:rFonts w:ascii="Arial" w:hAnsi="Arial" w:cs="Arial"/>
            <w:sz w:val="24"/>
            <w:szCs w:val="24"/>
          </w:rPr>
          <w:t>(Scottish Government, 2013)</w:t>
        </w:r>
      </w:hyperlink>
      <w:r w:rsidRPr="00BE538F">
        <w:rPr>
          <w:rFonts w:ascii="Arial" w:hAnsi="Arial" w:cs="Arial"/>
          <w:sz w:val="24"/>
          <w:szCs w:val="24"/>
        </w:rPr>
        <w:t>:</w:t>
      </w:r>
    </w:p>
    <w:p w14:paraId="2728FD2E" w14:textId="30A0C67E" w:rsidR="00EB3550" w:rsidRPr="00BE538F" w:rsidRDefault="00EB3550" w:rsidP="00BE538F">
      <w:pPr>
        <w:pStyle w:val="ListParagraph"/>
        <w:numPr>
          <w:ilvl w:val="0"/>
          <w:numId w:val="6"/>
        </w:numPr>
        <w:spacing w:after="200" w:line="360" w:lineRule="auto"/>
        <w:rPr>
          <w:rFonts w:ascii="Arial" w:hAnsi="Arial" w:cs="Arial"/>
          <w:sz w:val="24"/>
          <w:szCs w:val="24"/>
        </w:rPr>
      </w:pPr>
      <w:r w:rsidRPr="00BE538F">
        <w:rPr>
          <w:rFonts w:ascii="Arial" w:hAnsi="Arial" w:cs="Arial"/>
          <w:sz w:val="24"/>
          <w:szCs w:val="24"/>
        </w:rPr>
        <w:t>Engage with SEPA, Scottish Natural Heritage, environmental non-government organisations and other water users as key consultees</w:t>
      </w:r>
      <w:r w:rsidR="00E81BE9" w:rsidRPr="00BE538F">
        <w:rPr>
          <w:rFonts w:ascii="Arial" w:hAnsi="Arial" w:cs="Arial"/>
          <w:sz w:val="24"/>
          <w:szCs w:val="24"/>
        </w:rPr>
        <w:t>;</w:t>
      </w:r>
    </w:p>
    <w:p w14:paraId="6A859CE8" w14:textId="03A97921" w:rsidR="00EB3550" w:rsidRPr="00BE538F" w:rsidRDefault="00EB3550" w:rsidP="00BE538F">
      <w:pPr>
        <w:pStyle w:val="ListParagraph"/>
        <w:numPr>
          <w:ilvl w:val="0"/>
          <w:numId w:val="6"/>
        </w:numPr>
        <w:spacing w:after="200" w:line="360" w:lineRule="auto"/>
        <w:rPr>
          <w:rFonts w:ascii="Arial" w:hAnsi="Arial" w:cs="Arial"/>
          <w:sz w:val="24"/>
          <w:szCs w:val="24"/>
        </w:rPr>
      </w:pPr>
      <w:r w:rsidRPr="00BE538F">
        <w:rPr>
          <w:rFonts w:ascii="Arial" w:hAnsi="Arial" w:cs="Arial"/>
          <w:sz w:val="24"/>
          <w:szCs w:val="24"/>
        </w:rPr>
        <w:t>Consider land ownership, access, grid and transmission constraints</w:t>
      </w:r>
      <w:r w:rsidR="00E81BE9" w:rsidRPr="00BE538F">
        <w:rPr>
          <w:rFonts w:ascii="Arial" w:hAnsi="Arial" w:cs="Arial"/>
          <w:sz w:val="24"/>
          <w:szCs w:val="24"/>
        </w:rPr>
        <w:t>;</w:t>
      </w:r>
    </w:p>
    <w:p w14:paraId="3D9C771B" w14:textId="59C5D41B" w:rsidR="00EB3550" w:rsidRPr="00BE538F" w:rsidRDefault="00EB3550" w:rsidP="00BE538F">
      <w:pPr>
        <w:pStyle w:val="ListParagraph"/>
        <w:numPr>
          <w:ilvl w:val="0"/>
          <w:numId w:val="6"/>
        </w:numPr>
        <w:spacing w:after="200" w:line="360" w:lineRule="auto"/>
        <w:rPr>
          <w:rFonts w:ascii="Arial" w:hAnsi="Arial" w:cs="Arial"/>
          <w:sz w:val="24"/>
          <w:szCs w:val="24"/>
        </w:rPr>
      </w:pPr>
      <w:r w:rsidRPr="00BE538F">
        <w:rPr>
          <w:rFonts w:ascii="Arial" w:hAnsi="Arial" w:cs="Arial"/>
          <w:sz w:val="24"/>
          <w:szCs w:val="24"/>
        </w:rPr>
        <w:t>Good practice should be ensured during construction (including considerations of work schedules to avoid breeding seasons for sensitive species)</w:t>
      </w:r>
      <w:r w:rsidR="00E81BE9" w:rsidRPr="00BE538F">
        <w:rPr>
          <w:rFonts w:ascii="Arial" w:hAnsi="Arial" w:cs="Arial"/>
          <w:sz w:val="24"/>
          <w:szCs w:val="24"/>
        </w:rPr>
        <w:t>; and</w:t>
      </w:r>
    </w:p>
    <w:p w14:paraId="36922C90" w14:textId="55C00E21" w:rsidR="00EB3550" w:rsidRPr="00BE538F" w:rsidRDefault="00EB3550" w:rsidP="00BE538F">
      <w:pPr>
        <w:pStyle w:val="ListParagraph"/>
        <w:numPr>
          <w:ilvl w:val="0"/>
          <w:numId w:val="6"/>
        </w:numPr>
        <w:spacing w:after="200" w:line="360" w:lineRule="auto"/>
        <w:rPr>
          <w:rFonts w:ascii="Arial" w:hAnsi="Arial" w:cs="Arial"/>
          <w:sz w:val="24"/>
          <w:szCs w:val="24"/>
        </w:rPr>
      </w:pPr>
      <w:r w:rsidRPr="00BE538F">
        <w:rPr>
          <w:rFonts w:ascii="Arial" w:hAnsi="Arial" w:cs="Arial"/>
          <w:sz w:val="24"/>
          <w:szCs w:val="24"/>
        </w:rPr>
        <w:t>Mitigate against impacts where possible. This may be part of either the planning or the water licence consent (depending on what is deemed appropriate by LPAs and consultees).</w:t>
      </w:r>
    </w:p>
    <w:p w14:paraId="20C45D6A" w14:textId="77777777" w:rsidR="00EB3550" w:rsidRPr="00BE538F" w:rsidRDefault="00EB3550" w:rsidP="00527B0F">
      <w:pPr>
        <w:pStyle w:val="Heading2"/>
        <w:rPr>
          <w:rFonts w:ascii="Arial" w:hAnsi="Arial" w:cs="Arial"/>
        </w:rPr>
      </w:pPr>
      <w:bookmarkStart w:id="73" w:name="_Toc188013972"/>
      <w:bookmarkStart w:id="74" w:name="_Toc198879978"/>
      <w:r w:rsidRPr="00BE538F">
        <w:rPr>
          <w:rFonts w:ascii="Arial" w:hAnsi="Arial" w:cs="Arial"/>
        </w:rPr>
        <w:t>7.4 Northern Ireland</w:t>
      </w:r>
      <w:bookmarkEnd w:id="73"/>
      <w:bookmarkEnd w:id="74"/>
    </w:p>
    <w:p w14:paraId="284081D4" w14:textId="44247477" w:rsidR="00EB3550" w:rsidRPr="00BE538F" w:rsidRDefault="00EB3550" w:rsidP="00BE538F">
      <w:pPr>
        <w:tabs>
          <w:tab w:val="left" w:pos="3399"/>
        </w:tabs>
        <w:spacing w:line="360" w:lineRule="auto"/>
        <w:rPr>
          <w:rFonts w:ascii="Arial" w:hAnsi="Arial" w:cs="Arial"/>
          <w:sz w:val="24"/>
          <w:szCs w:val="24"/>
        </w:rPr>
      </w:pPr>
      <w:r w:rsidRPr="00BE538F">
        <w:rPr>
          <w:rFonts w:ascii="Arial" w:hAnsi="Arial" w:cs="Arial"/>
          <w:sz w:val="24"/>
          <w:szCs w:val="24"/>
        </w:rPr>
        <w:t>The NIEA is responsible for approving abstraction licences in Northern Ireland, the process of which is provided in a document published by DAERA</w:t>
      </w:r>
      <w:r w:rsidR="00E81BE9" w:rsidRPr="00BE538F">
        <w:rPr>
          <w:rFonts w:ascii="Arial" w:hAnsi="Arial" w:cs="Arial"/>
          <w:sz w:val="24"/>
          <w:szCs w:val="24"/>
        </w:rPr>
        <w:t xml:space="preserve"> </w:t>
      </w:r>
      <w:hyperlink r:id="rId63" w:history="1">
        <w:r w:rsidR="007D2446" w:rsidRPr="00BE538F">
          <w:rPr>
            <w:rStyle w:val="Hyperlink"/>
            <w:rFonts w:ascii="Arial" w:hAnsi="Arial" w:cs="Arial"/>
            <w:sz w:val="24"/>
            <w:szCs w:val="24"/>
          </w:rPr>
          <w:t>(DAERA, 2018)</w:t>
        </w:r>
      </w:hyperlink>
      <w:r w:rsidRPr="00BE538F">
        <w:rPr>
          <w:rFonts w:ascii="Arial" w:hAnsi="Arial" w:cs="Arial"/>
          <w:sz w:val="24"/>
          <w:szCs w:val="24"/>
        </w:rPr>
        <w:t>.</w:t>
      </w:r>
    </w:p>
    <w:p w14:paraId="4DC15F15" w14:textId="77777777" w:rsidR="00EB3550" w:rsidRPr="00BE538F" w:rsidRDefault="00EB3550" w:rsidP="00BE538F">
      <w:pPr>
        <w:tabs>
          <w:tab w:val="left" w:pos="3399"/>
        </w:tabs>
        <w:spacing w:line="360" w:lineRule="auto"/>
        <w:rPr>
          <w:rFonts w:ascii="Arial" w:hAnsi="Arial" w:cs="Arial"/>
          <w:sz w:val="24"/>
          <w:szCs w:val="24"/>
        </w:rPr>
      </w:pPr>
      <w:r w:rsidRPr="00BE538F">
        <w:rPr>
          <w:rFonts w:ascii="Arial" w:hAnsi="Arial" w:cs="Arial"/>
          <w:sz w:val="24"/>
          <w:szCs w:val="24"/>
        </w:rPr>
        <w:t xml:space="preserve">In the best practice guidance to PPS18, the </w:t>
      </w:r>
      <w:proofErr w:type="spellStart"/>
      <w:r w:rsidRPr="00BE538F">
        <w:rPr>
          <w:rFonts w:ascii="Arial" w:hAnsi="Arial" w:cs="Arial"/>
          <w:sz w:val="24"/>
          <w:szCs w:val="24"/>
        </w:rPr>
        <w:t>DfI</w:t>
      </w:r>
      <w:proofErr w:type="spellEnd"/>
      <w:r w:rsidRPr="00BE538F">
        <w:rPr>
          <w:rFonts w:ascii="Arial" w:hAnsi="Arial" w:cs="Arial"/>
          <w:sz w:val="24"/>
          <w:szCs w:val="24"/>
        </w:rPr>
        <w:t xml:space="preserve"> suggest a list of planning considerations:</w:t>
      </w:r>
    </w:p>
    <w:p w14:paraId="0E6983E5" w14:textId="6BED877E" w:rsidR="00EB3550" w:rsidRPr="00BE538F" w:rsidRDefault="00EB3550" w:rsidP="00BE538F">
      <w:pPr>
        <w:pStyle w:val="ListParagraph"/>
        <w:numPr>
          <w:ilvl w:val="0"/>
          <w:numId w:val="7"/>
        </w:numPr>
        <w:tabs>
          <w:tab w:val="left" w:pos="3399"/>
        </w:tabs>
        <w:spacing w:after="200" w:line="360" w:lineRule="auto"/>
        <w:rPr>
          <w:rFonts w:ascii="Arial" w:hAnsi="Arial" w:cs="Arial"/>
          <w:sz w:val="24"/>
          <w:szCs w:val="24"/>
        </w:rPr>
      </w:pPr>
      <w:r w:rsidRPr="00BE538F">
        <w:rPr>
          <w:rFonts w:ascii="Arial" w:hAnsi="Arial" w:cs="Arial"/>
          <w:sz w:val="24"/>
          <w:szCs w:val="24"/>
        </w:rPr>
        <w:t>Siting and landscape (minimising the impact of built structures and pipes/powerlines), any built structures should consider their design and incorporate vernacular building materials where possible</w:t>
      </w:r>
      <w:r w:rsidR="007D2446" w:rsidRPr="00BE538F">
        <w:rPr>
          <w:rFonts w:ascii="Arial" w:hAnsi="Arial" w:cs="Arial"/>
          <w:sz w:val="24"/>
          <w:szCs w:val="24"/>
        </w:rPr>
        <w:t>;</w:t>
      </w:r>
    </w:p>
    <w:p w14:paraId="00F5A4D0" w14:textId="187019C4" w:rsidR="00EB3550" w:rsidRPr="00BE538F" w:rsidRDefault="00EB3550" w:rsidP="00BE538F">
      <w:pPr>
        <w:pStyle w:val="ListParagraph"/>
        <w:numPr>
          <w:ilvl w:val="0"/>
          <w:numId w:val="7"/>
        </w:numPr>
        <w:tabs>
          <w:tab w:val="left" w:pos="3399"/>
        </w:tabs>
        <w:spacing w:after="200" w:line="360" w:lineRule="auto"/>
        <w:rPr>
          <w:rFonts w:ascii="Arial" w:hAnsi="Arial" w:cs="Arial"/>
          <w:sz w:val="24"/>
          <w:szCs w:val="24"/>
        </w:rPr>
      </w:pPr>
      <w:r w:rsidRPr="00BE538F">
        <w:rPr>
          <w:rFonts w:ascii="Arial" w:hAnsi="Arial" w:cs="Arial"/>
          <w:sz w:val="24"/>
          <w:szCs w:val="24"/>
        </w:rPr>
        <w:t>Hydrological and ecological consultations with NIEA, the Department for Culture Arts and Leisure and, where appropriate, the Loughs Agency</w:t>
      </w:r>
      <w:r w:rsidR="007D2446" w:rsidRPr="00BE538F">
        <w:rPr>
          <w:rFonts w:ascii="Arial" w:hAnsi="Arial" w:cs="Arial"/>
          <w:sz w:val="24"/>
          <w:szCs w:val="24"/>
        </w:rPr>
        <w:t>;</w:t>
      </w:r>
    </w:p>
    <w:p w14:paraId="6AC07103" w14:textId="676B0723" w:rsidR="00EB3550" w:rsidRPr="00BE538F" w:rsidRDefault="00EB3550" w:rsidP="00BE538F">
      <w:pPr>
        <w:pStyle w:val="ListParagraph"/>
        <w:numPr>
          <w:ilvl w:val="0"/>
          <w:numId w:val="7"/>
        </w:numPr>
        <w:tabs>
          <w:tab w:val="left" w:pos="3399"/>
        </w:tabs>
        <w:spacing w:after="200" w:line="360" w:lineRule="auto"/>
        <w:rPr>
          <w:rFonts w:ascii="Arial" w:hAnsi="Arial" w:cs="Arial"/>
          <w:sz w:val="24"/>
          <w:szCs w:val="24"/>
        </w:rPr>
      </w:pPr>
      <w:r w:rsidRPr="00BE538F">
        <w:rPr>
          <w:rFonts w:ascii="Arial" w:hAnsi="Arial" w:cs="Arial"/>
          <w:sz w:val="24"/>
          <w:szCs w:val="24"/>
        </w:rPr>
        <w:lastRenderedPageBreak/>
        <w:t>Fisheries interests and fish passages</w:t>
      </w:r>
      <w:r w:rsidR="007D2446" w:rsidRPr="00BE538F">
        <w:rPr>
          <w:rFonts w:ascii="Arial" w:hAnsi="Arial" w:cs="Arial"/>
          <w:sz w:val="24"/>
          <w:szCs w:val="24"/>
        </w:rPr>
        <w:t>;</w:t>
      </w:r>
    </w:p>
    <w:p w14:paraId="73BC7BCB" w14:textId="344093A9" w:rsidR="00EB3550" w:rsidRPr="00BE538F" w:rsidRDefault="00EB3550" w:rsidP="00BE538F">
      <w:pPr>
        <w:pStyle w:val="ListParagraph"/>
        <w:numPr>
          <w:ilvl w:val="0"/>
          <w:numId w:val="7"/>
        </w:numPr>
        <w:tabs>
          <w:tab w:val="left" w:pos="3399"/>
        </w:tabs>
        <w:spacing w:after="200" w:line="360" w:lineRule="auto"/>
        <w:rPr>
          <w:rFonts w:ascii="Arial" w:hAnsi="Arial" w:cs="Arial"/>
          <w:sz w:val="24"/>
          <w:szCs w:val="24"/>
        </w:rPr>
      </w:pPr>
      <w:r w:rsidRPr="00BE538F">
        <w:rPr>
          <w:rFonts w:ascii="Arial" w:hAnsi="Arial" w:cs="Arial"/>
          <w:sz w:val="24"/>
          <w:szCs w:val="24"/>
        </w:rPr>
        <w:t>Noise should be dampened by the turbine house – an assessment should be completed if the site is close to residential properties</w:t>
      </w:r>
      <w:r w:rsidR="007D2446" w:rsidRPr="00BE538F">
        <w:rPr>
          <w:rFonts w:ascii="Arial" w:hAnsi="Arial" w:cs="Arial"/>
          <w:sz w:val="24"/>
          <w:szCs w:val="24"/>
        </w:rPr>
        <w:t>;</w:t>
      </w:r>
    </w:p>
    <w:p w14:paraId="20E62225" w14:textId="03887A74" w:rsidR="00EB3550" w:rsidRPr="00BE538F" w:rsidRDefault="00EB3550" w:rsidP="00BE538F">
      <w:pPr>
        <w:pStyle w:val="ListParagraph"/>
        <w:numPr>
          <w:ilvl w:val="0"/>
          <w:numId w:val="7"/>
        </w:numPr>
        <w:tabs>
          <w:tab w:val="left" w:pos="3399"/>
        </w:tabs>
        <w:spacing w:after="200" w:line="360" w:lineRule="auto"/>
        <w:rPr>
          <w:rFonts w:ascii="Arial" w:hAnsi="Arial" w:cs="Arial"/>
          <w:sz w:val="24"/>
          <w:szCs w:val="24"/>
        </w:rPr>
      </w:pPr>
      <w:r w:rsidRPr="00BE538F">
        <w:rPr>
          <w:rFonts w:ascii="Arial" w:hAnsi="Arial" w:cs="Arial"/>
          <w:sz w:val="24"/>
          <w:szCs w:val="24"/>
        </w:rPr>
        <w:t>Construction disturbance to the water environment and any operational disturbances from routine maintenance</w:t>
      </w:r>
      <w:r w:rsidR="007D2446" w:rsidRPr="00BE538F">
        <w:rPr>
          <w:rFonts w:ascii="Arial" w:hAnsi="Arial" w:cs="Arial"/>
          <w:sz w:val="24"/>
          <w:szCs w:val="24"/>
        </w:rPr>
        <w:t>; and</w:t>
      </w:r>
    </w:p>
    <w:p w14:paraId="411CB20B" w14:textId="43101B94" w:rsidR="00EB3550" w:rsidRPr="00BE538F" w:rsidRDefault="00EB3550" w:rsidP="00BE538F">
      <w:pPr>
        <w:pStyle w:val="ListParagraph"/>
        <w:numPr>
          <w:ilvl w:val="0"/>
          <w:numId w:val="7"/>
        </w:numPr>
        <w:tabs>
          <w:tab w:val="left" w:pos="3399"/>
        </w:tabs>
        <w:spacing w:after="200"/>
        <w:rPr>
          <w:rFonts w:ascii="Arial" w:hAnsi="Arial" w:cs="Arial"/>
        </w:rPr>
      </w:pPr>
      <w:r w:rsidRPr="00BE538F">
        <w:rPr>
          <w:rFonts w:ascii="Arial" w:hAnsi="Arial" w:cs="Arial"/>
          <w:sz w:val="24"/>
          <w:szCs w:val="24"/>
        </w:rPr>
        <w:t>Public access and recreation during construction and operation.</w:t>
      </w:r>
      <w:r w:rsidR="007D2446" w:rsidRPr="00BE538F" w:rsidDel="007D2446">
        <w:rPr>
          <w:rFonts w:ascii="Arial" w:hAnsi="Arial" w:cs="Arial"/>
          <w:sz w:val="24"/>
          <w:szCs w:val="24"/>
        </w:rPr>
        <w:t xml:space="preserve"> </w:t>
      </w:r>
    </w:p>
    <w:p w14:paraId="04E717B5" w14:textId="7D68F439" w:rsidR="00EB3550" w:rsidRPr="00BE538F" w:rsidRDefault="002D3A70" w:rsidP="00BE538F">
      <w:pPr>
        <w:pStyle w:val="Heading1"/>
        <w:spacing w:line="276" w:lineRule="auto"/>
        <w:rPr>
          <w:rFonts w:ascii="Arial" w:hAnsi="Arial" w:cs="Arial"/>
        </w:rPr>
      </w:pPr>
      <w:bookmarkStart w:id="75" w:name="_Toc188013973"/>
      <w:bookmarkStart w:id="76" w:name="_Toc198879979"/>
      <w:r w:rsidRPr="00BE538F">
        <w:rPr>
          <w:rFonts w:ascii="Arial" w:hAnsi="Arial" w:cs="Arial"/>
        </w:rPr>
        <w:t xml:space="preserve">8. </w:t>
      </w:r>
      <w:r w:rsidR="00EB3550" w:rsidRPr="00BE538F">
        <w:rPr>
          <w:rFonts w:ascii="Arial" w:hAnsi="Arial" w:cs="Arial"/>
        </w:rPr>
        <w:t>Tidal</w:t>
      </w:r>
      <w:bookmarkEnd w:id="75"/>
      <w:bookmarkEnd w:id="76"/>
      <w:r w:rsidR="00EB3550" w:rsidRPr="00BE538F">
        <w:rPr>
          <w:rFonts w:ascii="Arial" w:hAnsi="Arial" w:cs="Arial"/>
        </w:rPr>
        <w:t xml:space="preserve"> </w:t>
      </w:r>
    </w:p>
    <w:p w14:paraId="308527B6"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Much like offshore wind projects, licenses for tidal projects are typically granted by the relevant marine authorities, though LPAs may have a role in granting planning permission to the near and onshore infrastructure. Unlike offshore wind, none of the four nations have published any guidance or policy documents specifically for tidal energy.</w:t>
      </w:r>
    </w:p>
    <w:p w14:paraId="7F514A5A" w14:textId="77777777" w:rsidR="00EB3550" w:rsidRPr="00BE538F" w:rsidRDefault="00EB3550" w:rsidP="00527B0F">
      <w:pPr>
        <w:pStyle w:val="Heading2"/>
        <w:rPr>
          <w:rFonts w:ascii="Arial" w:hAnsi="Arial" w:cs="Arial"/>
        </w:rPr>
      </w:pPr>
      <w:bookmarkStart w:id="77" w:name="_Toc188013974"/>
      <w:bookmarkStart w:id="78" w:name="_Toc198879980"/>
      <w:r w:rsidRPr="00BE538F">
        <w:rPr>
          <w:rFonts w:ascii="Arial" w:hAnsi="Arial" w:cs="Arial"/>
        </w:rPr>
        <w:t>8.1 England</w:t>
      </w:r>
      <w:bookmarkEnd w:id="77"/>
      <w:bookmarkEnd w:id="78"/>
    </w:p>
    <w:p w14:paraId="6C9E6BB5"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 xml:space="preserve">The Planning Act 2008 notes that offshore generating stations are nationally significant if they are over 100 MW. In practice, previous tidal projects of below 100 MW in England have applied through The Crown Estate, the former Department of Energy and Climate Change (DECC) and the Isle of Wight Council, suggesting no clear capacity cut-off for local versus national consenting. </w:t>
      </w:r>
    </w:p>
    <w:p w14:paraId="1496F944"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Marine Licenses are required for all the marine elements of a proposed offshore development. Any Development Consent Order (DCO) granted by the Secretary of State may include provisions deeming the grant of a Marine Licence for operations carried out wholly in England and English waters. NPS EN-3 contains considerations specific to tidal stream devices, including:</w:t>
      </w:r>
    </w:p>
    <w:p w14:paraId="7EE55893" w14:textId="0DB0D02C" w:rsidR="00EB3550" w:rsidRPr="00BE538F" w:rsidRDefault="00EB3550" w:rsidP="00BE538F">
      <w:pPr>
        <w:pStyle w:val="ListParagraph"/>
        <w:numPr>
          <w:ilvl w:val="0"/>
          <w:numId w:val="31"/>
        </w:numPr>
        <w:spacing w:after="200" w:line="360" w:lineRule="auto"/>
        <w:rPr>
          <w:rFonts w:ascii="Arial" w:hAnsi="Arial" w:cs="Arial"/>
          <w:sz w:val="24"/>
          <w:szCs w:val="24"/>
        </w:rPr>
      </w:pPr>
      <w:r w:rsidRPr="00BE538F">
        <w:rPr>
          <w:rFonts w:ascii="Arial" w:hAnsi="Arial" w:cs="Arial"/>
          <w:sz w:val="24"/>
          <w:szCs w:val="24"/>
        </w:rPr>
        <w:t>Seabed geology and foundation conditions</w:t>
      </w:r>
      <w:r w:rsidR="00B30810" w:rsidRPr="00BE538F">
        <w:rPr>
          <w:rFonts w:ascii="Arial" w:hAnsi="Arial" w:cs="Arial"/>
          <w:sz w:val="24"/>
          <w:szCs w:val="24"/>
        </w:rPr>
        <w:t>;</w:t>
      </w:r>
    </w:p>
    <w:p w14:paraId="3F840C6B" w14:textId="236FAF8F" w:rsidR="00EB3550" w:rsidRPr="00BE538F" w:rsidRDefault="00EB3550" w:rsidP="00BE538F">
      <w:pPr>
        <w:pStyle w:val="ListParagraph"/>
        <w:numPr>
          <w:ilvl w:val="0"/>
          <w:numId w:val="31"/>
        </w:numPr>
        <w:spacing w:after="200" w:line="360" w:lineRule="auto"/>
        <w:rPr>
          <w:rFonts w:ascii="Arial" w:hAnsi="Arial" w:cs="Arial"/>
          <w:sz w:val="24"/>
          <w:szCs w:val="24"/>
        </w:rPr>
      </w:pPr>
      <w:r w:rsidRPr="00BE538F">
        <w:rPr>
          <w:rFonts w:ascii="Arial" w:hAnsi="Arial" w:cs="Arial"/>
          <w:sz w:val="24"/>
          <w:szCs w:val="24"/>
        </w:rPr>
        <w:t>Water depth</w:t>
      </w:r>
      <w:r w:rsidR="00B30810" w:rsidRPr="00BE538F">
        <w:rPr>
          <w:rFonts w:ascii="Arial" w:hAnsi="Arial" w:cs="Arial"/>
          <w:sz w:val="24"/>
          <w:szCs w:val="24"/>
        </w:rPr>
        <w:t>; and</w:t>
      </w:r>
    </w:p>
    <w:p w14:paraId="47DD3904" w14:textId="54D40AFB" w:rsidR="00EB3550" w:rsidRPr="00BE538F" w:rsidRDefault="00EB3550" w:rsidP="00BE538F">
      <w:pPr>
        <w:pStyle w:val="ListParagraph"/>
        <w:numPr>
          <w:ilvl w:val="0"/>
          <w:numId w:val="31"/>
        </w:numPr>
        <w:spacing w:after="200" w:line="360" w:lineRule="auto"/>
        <w:rPr>
          <w:rFonts w:ascii="Arial" w:hAnsi="Arial" w:cs="Arial"/>
          <w:sz w:val="24"/>
          <w:szCs w:val="24"/>
        </w:rPr>
      </w:pPr>
      <w:r w:rsidRPr="00BE538F">
        <w:rPr>
          <w:rFonts w:ascii="Arial" w:hAnsi="Arial" w:cs="Arial"/>
          <w:sz w:val="24"/>
          <w:szCs w:val="24"/>
        </w:rPr>
        <w:t>Impact on intertidal and subtidal seabed habitats and species.</w:t>
      </w:r>
      <w:r w:rsidR="00B30810" w:rsidRPr="00BE538F" w:rsidDel="00B30810">
        <w:rPr>
          <w:rFonts w:ascii="Arial" w:hAnsi="Arial" w:cs="Arial"/>
          <w:sz w:val="24"/>
          <w:szCs w:val="24"/>
        </w:rPr>
        <w:t xml:space="preserve"> </w:t>
      </w:r>
    </w:p>
    <w:p w14:paraId="0CE1279F" w14:textId="77777777" w:rsidR="00EB3550" w:rsidRPr="00BE538F" w:rsidRDefault="00EB3550" w:rsidP="00527B0F">
      <w:pPr>
        <w:pStyle w:val="Heading2"/>
        <w:rPr>
          <w:rFonts w:ascii="Arial" w:hAnsi="Arial" w:cs="Arial"/>
        </w:rPr>
      </w:pPr>
      <w:bookmarkStart w:id="79" w:name="_Toc188013975"/>
      <w:bookmarkStart w:id="80" w:name="_Toc198879981"/>
      <w:r w:rsidRPr="00BE538F">
        <w:rPr>
          <w:rFonts w:ascii="Arial" w:hAnsi="Arial" w:cs="Arial"/>
        </w:rPr>
        <w:t>8.2 Wales</w:t>
      </w:r>
      <w:bookmarkEnd w:id="79"/>
      <w:bookmarkEnd w:id="80"/>
      <w:r w:rsidRPr="00BE538F">
        <w:rPr>
          <w:rFonts w:ascii="Arial" w:hAnsi="Arial" w:cs="Arial"/>
        </w:rPr>
        <w:t xml:space="preserve"> </w:t>
      </w:r>
    </w:p>
    <w:p w14:paraId="34B9B815"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 xml:space="preserve">Under Section 36 of the Electricity Act (1989), Welsh Ministers are responsible for consents for projects between 1 MW and 350 MW in the Welsh inshore area (out to 12 nautical miles) and projects between 50 MW and 350 MW in the Welsh offshore </w:t>
      </w:r>
      <w:r w:rsidRPr="00BE538F">
        <w:rPr>
          <w:rFonts w:ascii="Arial" w:hAnsi="Arial" w:cs="Arial"/>
          <w:sz w:val="24"/>
          <w:szCs w:val="24"/>
        </w:rPr>
        <w:lastRenderedPageBreak/>
        <w:t>area (beyond 12 nautical miles, out to 200 nautical miles). Offshore energy projects over 350 MW are consented by the Secretary of State under the NSIP regime.</w:t>
      </w:r>
    </w:p>
    <w:p w14:paraId="53D7D5BE" w14:textId="77777777" w:rsidR="00EB3550" w:rsidRPr="00BE538F" w:rsidRDefault="00EB3550" w:rsidP="00527B0F">
      <w:pPr>
        <w:pStyle w:val="Heading2"/>
        <w:rPr>
          <w:rFonts w:ascii="Arial" w:hAnsi="Arial" w:cs="Arial"/>
        </w:rPr>
      </w:pPr>
      <w:bookmarkStart w:id="81" w:name="_Toc188013976"/>
      <w:bookmarkStart w:id="82" w:name="_Toc198879982"/>
      <w:r w:rsidRPr="00BE538F">
        <w:rPr>
          <w:rFonts w:ascii="Arial" w:hAnsi="Arial" w:cs="Arial"/>
        </w:rPr>
        <w:t>8.3 Scotland</w:t>
      </w:r>
      <w:bookmarkEnd w:id="81"/>
      <w:bookmarkEnd w:id="82"/>
      <w:r w:rsidRPr="00BE538F">
        <w:rPr>
          <w:rFonts w:ascii="Arial" w:hAnsi="Arial" w:cs="Arial"/>
        </w:rPr>
        <w:t xml:space="preserve"> </w:t>
      </w:r>
    </w:p>
    <w:p w14:paraId="1A2FCB3E" w14:textId="130688EA"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Consent from Scottish Ministers under Section 36 of the Electricity Act (1989) is required for generating stations above 1 MW in Scottish inshore regions and above 50 MW in Scottish offshore regions. The same principles of LPA involvement which apply to offshore wind also apply to tidal energy.</w:t>
      </w:r>
      <w:r w:rsidR="002A4AC4" w:rsidRPr="00BE538F" w:rsidDel="002A4AC4">
        <w:rPr>
          <w:rFonts w:ascii="Arial" w:hAnsi="Arial" w:cs="Arial"/>
          <w:sz w:val="24"/>
          <w:szCs w:val="24"/>
        </w:rPr>
        <w:t xml:space="preserve"> </w:t>
      </w:r>
    </w:p>
    <w:p w14:paraId="3694CE9C" w14:textId="77777777" w:rsidR="00EB3550" w:rsidRPr="00BE538F" w:rsidRDefault="00EB3550" w:rsidP="00527B0F">
      <w:pPr>
        <w:pStyle w:val="Heading2"/>
        <w:rPr>
          <w:rFonts w:ascii="Arial" w:hAnsi="Arial" w:cs="Arial"/>
        </w:rPr>
      </w:pPr>
      <w:bookmarkStart w:id="83" w:name="_Toc188013977"/>
      <w:bookmarkStart w:id="84" w:name="_Toc198879983"/>
      <w:r w:rsidRPr="00BE538F">
        <w:rPr>
          <w:rFonts w:ascii="Arial" w:hAnsi="Arial" w:cs="Arial"/>
        </w:rPr>
        <w:t>8.4 Northern Ireland</w:t>
      </w:r>
      <w:bookmarkEnd w:id="83"/>
      <w:bookmarkEnd w:id="84"/>
      <w:r w:rsidRPr="00BE538F">
        <w:rPr>
          <w:rFonts w:ascii="Arial" w:hAnsi="Arial" w:cs="Arial"/>
        </w:rPr>
        <w:t xml:space="preserve"> </w:t>
      </w:r>
    </w:p>
    <w:p w14:paraId="05C6FC49"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Onshore components of tidal projects are subject to the tests outlined in section 2.4. LPAs are responsible for approving the onshore components of offshore projects up to 30 MW except if the Department for the Economy (DfE) deems the project to be of appropriate significance to take over the application.</w:t>
      </w:r>
    </w:p>
    <w:p w14:paraId="3DC9262E" w14:textId="37DA1303" w:rsidR="00EB3550" w:rsidRPr="00BE538F" w:rsidRDefault="002A4AC4" w:rsidP="00BE538F">
      <w:pPr>
        <w:pStyle w:val="Heading2"/>
        <w:rPr>
          <w:rFonts w:ascii="Arial" w:hAnsi="Arial" w:cs="Arial"/>
        </w:rPr>
      </w:pPr>
      <w:bookmarkStart w:id="85" w:name="_Toc198879984"/>
      <w:r w:rsidRPr="00BE538F">
        <w:rPr>
          <w:rFonts w:ascii="Arial" w:hAnsi="Arial" w:cs="Arial"/>
        </w:rPr>
        <w:t xml:space="preserve">8.5 Tidal energy </w:t>
      </w:r>
      <w:r w:rsidR="00EB3550" w:rsidRPr="00BE538F">
        <w:rPr>
          <w:rFonts w:ascii="Arial" w:hAnsi="Arial" w:cs="Arial"/>
        </w:rPr>
        <w:t xml:space="preserve">Case </w:t>
      </w:r>
      <w:r w:rsidR="0011534D" w:rsidRPr="00BE538F">
        <w:rPr>
          <w:rFonts w:ascii="Arial" w:hAnsi="Arial" w:cs="Arial"/>
        </w:rPr>
        <w:t>s</w:t>
      </w:r>
      <w:r w:rsidR="00EB3550" w:rsidRPr="00BE538F">
        <w:rPr>
          <w:rFonts w:ascii="Arial" w:hAnsi="Arial" w:cs="Arial"/>
        </w:rPr>
        <w:t>tudies</w:t>
      </w:r>
      <w:bookmarkEnd w:id="85"/>
    </w:p>
    <w:p w14:paraId="68CA8C40"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Case studies for tidal energy include:</w:t>
      </w:r>
    </w:p>
    <w:p w14:paraId="29FB0D08" w14:textId="33A5547F" w:rsidR="002A4AC4" w:rsidRPr="00BE538F" w:rsidRDefault="00EB3550" w:rsidP="00BE538F">
      <w:pPr>
        <w:pStyle w:val="ListParagraph"/>
        <w:numPr>
          <w:ilvl w:val="0"/>
          <w:numId w:val="31"/>
        </w:numPr>
        <w:spacing w:line="360" w:lineRule="auto"/>
        <w:rPr>
          <w:rFonts w:ascii="Arial" w:hAnsi="Arial" w:cs="Arial"/>
          <w:sz w:val="24"/>
          <w:szCs w:val="24"/>
        </w:rPr>
      </w:pPr>
      <w:r w:rsidRPr="00BE538F">
        <w:rPr>
          <w:rFonts w:ascii="Arial" w:hAnsi="Arial" w:cs="Arial"/>
          <w:b/>
          <w:bCs/>
          <w:sz w:val="24"/>
          <w:szCs w:val="24"/>
        </w:rPr>
        <w:t>England:</w:t>
      </w:r>
      <w:r w:rsidR="002A4AC4" w:rsidRPr="00BE538F">
        <w:rPr>
          <w:rFonts w:ascii="Arial" w:hAnsi="Arial" w:cs="Arial"/>
          <w:b/>
          <w:bCs/>
          <w:sz w:val="24"/>
          <w:szCs w:val="24"/>
        </w:rPr>
        <w:t xml:space="preserve"> </w:t>
      </w:r>
      <w:proofErr w:type="spellStart"/>
      <w:r w:rsidRPr="00BE538F">
        <w:rPr>
          <w:rFonts w:ascii="Arial" w:hAnsi="Arial" w:cs="Arial"/>
          <w:sz w:val="24"/>
          <w:szCs w:val="24"/>
        </w:rPr>
        <w:t>Perpetuus</w:t>
      </w:r>
      <w:proofErr w:type="spellEnd"/>
      <w:r w:rsidRPr="00BE538F">
        <w:rPr>
          <w:rFonts w:ascii="Arial" w:hAnsi="Arial" w:cs="Arial"/>
          <w:sz w:val="24"/>
          <w:szCs w:val="24"/>
        </w:rPr>
        <w:t xml:space="preserve"> tidal energy centre in the Isle of Wight</w:t>
      </w:r>
      <w:r w:rsidR="003853BF" w:rsidRPr="00BE538F">
        <w:rPr>
          <w:rFonts w:ascii="Arial" w:hAnsi="Arial" w:cs="Arial"/>
          <w:sz w:val="24"/>
          <w:szCs w:val="24"/>
        </w:rPr>
        <w:t xml:space="preserve"> </w:t>
      </w:r>
      <w:hyperlink r:id="rId64" w:history="1">
        <w:r w:rsidR="003853BF" w:rsidRPr="00BE538F">
          <w:rPr>
            <w:rStyle w:val="Hyperlink"/>
            <w:rFonts w:ascii="Arial" w:hAnsi="Arial" w:cs="Arial"/>
            <w:sz w:val="24"/>
            <w:szCs w:val="24"/>
          </w:rPr>
          <w:t>(Isle of Wight Council, 2025)</w:t>
        </w:r>
      </w:hyperlink>
      <w:r w:rsidR="00EA7036" w:rsidRPr="00BE538F">
        <w:rPr>
          <w:rFonts w:ascii="Arial" w:hAnsi="Arial" w:cs="Arial"/>
          <w:sz w:val="24"/>
          <w:szCs w:val="24"/>
        </w:rPr>
        <w:t>;</w:t>
      </w:r>
    </w:p>
    <w:p w14:paraId="56B1B4BD" w14:textId="7F40B24E" w:rsidR="002A4AC4" w:rsidRPr="00BE538F" w:rsidRDefault="00EB3550" w:rsidP="00BE538F">
      <w:pPr>
        <w:pStyle w:val="ListParagraph"/>
        <w:numPr>
          <w:ilvl w:val="0"/>
          <w:numId w:val="31"/>
        </w:numPr>
        <w:spacing w:line="360" w:lineRule="auto"/>
        <w:rPr>
          <w:rFonts w:ascii="Arial" w:hAnsi="Arial" w:cs="Arial"/>
          <w:sz w:val="24"/>
          <w:szCs w:val="24"/>
        </w:rPr>
      </w:pPr>
      <w:r w:rsidRPr="00BE538F">
        <w:rPr>
          <w:rFonts w:ascii="Arial" w:hAnsi="Arial" w:cs="Arial"/>
          <w:b/>
          <w:bCs/>
          <w:sz w:val="24"/>
          <w:szCs w:val="24"/>
        </w:rPr>
        <w:t>Wales</w:t>
      </w:r>
      <w:r w:rsidR="002A4AC4" w:rsidRPr="00BE538F">
        <w:rPr>
          <w:rFonts w:ascii="Arial" w:hAnsi="Arial" w:cs="Arial"/>
          <w:b/>
          <w:bCs/>
          <w:sz w:val="24"/>
          <w:szCs w:val="24"/>
        </w:rPr>
        <w:t xml:space="preserve">: </w:t>
      </w:r>
      <w:proofErr w:type="spellStart"/>
      <w:r w:rsidRPr="00BE538F">
        <w:rPr>
          <w:rFonts w:ascii="Arial" w:hAnsi="Arial" w:cs="Arial"/>
          <w:sz w:val="24"/>
          <w:szCs w:val="24"/>
        </w:rPr>
        <w:t>Morlais</w:t>
      </w:r>
      <w:proofErr w:type="spellEnd"/>
      <w:r w:rsidRPr="00BE538F">
        <w:rPr>
          <w:rFonts w:ascii="Arial" w:hAnsi="Arial" w:cs="Arial"/>
          <w:sz w:val="24"/>
          <w:szCs w:val="24"/>
        </w:rPr>
        <w:t xml:space="preserve"> demonstration zone project in the Isle of Anglesey</w:t>
      </w:r>
      <w:r w:rsidR="00E87026" w:rsidRPr="00BE538F">
        <w:rPr>
          <w:rFonts w:ascii="Arial" w:hAnsi="Arial" w:cs="Arial"/>
          <w:sz w:val="24"/>
          <w:szCs w:val="24"/>
        </w:rPr>
        <w:t xml:space="preserve"> </w:t>
      </w:r>
      <w:hyperlink r:id="rId65" w:history="1">
        <w:r w:rsidR="00E87026" w:rsidRPr="00BE538F">
          <w:rPr>
            <w:rStyle w:val="Hyperlink"/>
            <w:rFonts w:ascii="Arial" w:hAnsi="Arial" w:cs="Arial"/>
            <w:sz w:val="24"/>
            <w:szCs w:val="24"/>
          </w:rPr>
          <w:t>(Welsh Government, 2021)</w:t>
        </w:r>
      </w:hyperlink>
      <w:r w:rsidR="00EA7036" w:rsidRPr="00BE538F">
        <w:rPr>
          <w:rFonts w:ascii="Arial" w:hAnsi="Arial" w:cs="Arial"/>
          <w:sz w:val="24"/>
          <w:szCs w:val="24"/>
        </w:rPr>
        <w:t>; and</w:t>
      </w:r>
    </w:p>
    <w:p w14:paraId="232E8448" w14:textId="2B182BF2" w:rsidR="00EB3550" w:rsidRPr="00BE538F" w:rsidRDefault="00EB3550" w:rsidP="00BE538F">
      <w:pPr>
        <w:pStyle w:val="ListParagraph"/>
        <w:numPr>
          <w:ilvl w:val="0"/>
          <w:numId w:val="31"/>
        </w:numPr>
        <w:spacing w:line="360" w:lineRule="auto"/>
        <w:rPr>
          <w:rFonts w:ascii="Arial" w:hAnsi="Arial" w:cs="Arial"/>
          <w:sz w:val="24"/>
          <w:szCs w:val="24"/>
        </w:rPr>
      </w:pPr>
      <w:r w:rsidRPr="00BE538F">
        <w:rPr>
          <w:rFonts w:ascii="Arial" w:hAnsi="Arial" w:cs="Arial"/>
          <w:b/>
          <w:bCs/>
          <w:sz w:val="24"/>
          <w:szCs w:val="24"/>
        </w:rPr>
        <w:t>Scotland:</w:t>
      </w:r>
      <w:r w:rsidR="002A4AC4" w:rsidRPr="00BE538F">
        <w:rPr>
          <w:rFonts w:ascii="Arial" w:hAnsi="Arial" w:cs="Arial"/>
          <w:b/>
          <w:bCs/>
          <w:sz w:val="24"/>
          <w:szCs w:val="24"/>
        </w:rPr>
        <w:t xml:space="preserve"> </w:t>
      </w:r>
      <w:proofErr w:type="spellStart"/>
      <w:r w:rsidRPr="00BE538F">
        <w:rPr>
          <w:rFonts w:ascii="Arial" w:hAnsi="Arial" w:cs="Arial"/>
          <w:sz w:val="24"/>
          <w:szCs w:val="24"/>
        </w:rPr>
        <w:t>MeyGen</w:t>
      </w:r>
      <w:proofErr w:type="spellEnd"/>
      <w:r w:rsidRPr="00BE538F">
        <w:rPr>
          <w:rFonts w:ascii="Arial" w:hAnsi="Arial" w:cs="Arial"/>
          <w:sz w:val="24"/>
          <w:szCs w:val="24"/>
        </w:rPr>
        <w:t xml:space="preserve"> in the Highland council area</w:t>
      </w:r>
      <w:r w:rsidR="002B23F4" w:rsidRPr="00BE538F">
        <w:rPr>
          <w:rFonts w:ascii="Arial" w:hAnsi="Arial" w:cs="Arial"/>
          <w:sz w:val="24"/>
          <w:szCs w:val="24"/>
        </w:rPr>
        <w:t xml:space="preserve"> </w:t>
      </w:r>
      <w:hyperlink r:id="rId66" w:history="1">
        <w:r w:rsidR="002B23F4" w:rsidRPr="00BE538F">
          <w:rPr>
            <w:rStyle w:val="Hyperlink"/>
            <w:rFonts w:ascii="Arial" w:hAnsi="Arial" w:cs="Arial"/>
            <w:sz w:val="24"/>
            <w:szCs w:val="24"/>
          </w:rPr>
          <w:t>(</w:t>
        </w:r>
        <w:proofErr w:type="spellStart"/>
        <w:r w:rsidR="002B23F4" w:rsidRPr="00BE538F">
          <w:rPr>
            <w:rStyle w:val="Hyperlink"/>
            <w:rFonts w:ascii="Arial" w:hAnsi="Arial" w:cs="Arial"/>
            <w:sz w:val="24"/>
            <w:szCs w:val="24"/>
          </w:rPr>
          <w:t>MeyGen</w:t>
        </w:r>
        <w:proofErr w:type="spellEnd"/>
        <w:r w:rsidR="002B23F4" w:rsidRPr="00BE538F">
          <w:rPr>
            <w:rStyle w:val="Hyperlink"/>
            <w:rFonts w:ascii="Arial" w:hAnsi="Arial" w:cs="Arial"/>
            <w:sz w:val="24"/>
            <w:szCs w:val="24"/>
          </w:rPr>
          <w:t>, 2011)</w:t>
        </w:r>
      </w:hyperlink>
      <w:r w:rsidRPr="00BE538F">
        <w:rPr>
          <w:rFonts w:ascii="Arial" w:hAnsi="Arial" w:cs="Arial"/>
          <w:sz w:val="24"/>
          <w:szCs w:val="24"/>
        </w:rPr>
        <w:t>.</w:t>
      </w:r>
    </w:p>
    <w:p w14:paraId="4A9589E9" w14:textId="048D5DDC" w:rsidR="00EB3550" w:rsidRPr="00BE538F" w:rsidRDefault="002D3A70" w:rsidP="00BE538F">
      <w:pPr>
        <w:pStyle w:val="Heading1"/>
        <w:spacing w:line="276" w:lineRule="auto"/>
        <w:rPr>
          <w:rFonts w:ascii="Arial" w:hAnsi="Arial" w:cs="Arial"/>
        </w:rPr>
      </w:pPr>
      <w:bookmarkStart w:id="86" w:name="_Toc188013978"/>
      <w:bookmarkStart w:id="87" w:name="_Toc198879985"/>
      <w:r w:rsidRPr="00BE538F">
        <w:rPr>
          <w:rFonts w:ascii="Arial" w:hAnsi="Arial" w:cs="Arial"/>
        </w:rPr>
        <w:t xml:space="preserve">9. </w:t>
      </w:r>
      <w:r w:rsidR="00EB3550" w:rsidRPr="00BE538F">
        <w:rPr>
          <w:rFonts w:ascii="Arial" w:hAnsi="Arial" w:cs="Arial"/>
        </w:rPr>
        <w:t>Hydrogen</w:t>
      </w:r>
      <w:bookmarkEnd w:id="86"/>
      <w:bookmarkEnd w:id="87"/>
    </w:p>
    <w:p w14:paraId="65D87B9F" w14:textId="77777777" w:rsidR="00EB3550" w:rsidRPr="00BE538F" w:rsidRDefault="00EB3550" w:rsidP="00527B0F">
      <w:pPr>
        <w:pStyle w:val="Heading2"/>
        <w:rPr>
          <w:rFonts w:ascii="Arial" w:hAnsi="Arial" w:cs="Arial"/>
        </w:rPr>
      </w:pPr>
      <w:bookmarkStart w:id="88" w:name="_Toc188013979"/>
      <w:bookmarkStart w:id="89" w:name="_Toc198879986"/>
      <w:r w:rsidRPr="00BE538F">
        <w:rPr>
          <w:rFonts w:ascii="Arial" w:hAnsi="Arial" w:cs="Arial"/>
        </w:rPr>
        <w:t>9.1 UK-wide guidance</w:t>
      </w:r>
      <w:bookmarkEnd w:id="88"/>
      <w:bookmarkEnd w:id="89"/>
    </w:p>
    <w:p w14:paraId="3D0B63A5" w14:textId="662DB760"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Green hydrogen is a new technology, and very little explicit guidance is given in any of the overarching planning frameworks. Research and consultation with hydrogen developers by DESNZ reinforces this, stating that there is a lack of understanding, guidance and flexibility in the approval process</w:t>
      </w:r>
      <w:r w:rsidR="002B23F4" w:rsidRPr="00BE538F">
        <w:rPr>
          <w:rFonts w:ascii="Arial" w:hAnsi="Arial" w:cs="Arial"/>
          <w:sz w:val="24"/>
          <w:szCs w:val="24"/>
        </w:rPr>
        <w:t xml:space="preserve"> </w:t>
      </w:r>
      <w:hyperlink r:id="rId67" w:history="1">
        <w:r w:rsidR="002B23F4" w:rsidRPr="00BE538F">
          <w:rPr>
            <w:rStyle w:val="Hyperlink"/>
            <w:rFonts w:ascii="Arial" w:hAnsi="Arial" w:cs="Arial"/>
            <w:sz w:val="24"/>
            <w:szCs w:val="24"/>
          </w:rPr>
          <w:t>(</w:t>
        </w:r>
        <w:r w:rsidR="00CC5DD8" w:rsidRPr="00BE538F">
          <w:rPr>
            <w:rStyle w:val="Hyperlink"/>
            <w:rFonts w:ascii="Arial" w:hAnsi="Arial" w:cs="Arial"/>
            <w:sz w:val="24"/>
            <w:szCs w:val="24"/>
          </w:rPr>
          <w:t>DESNZ, 2023)</w:t>
        </w:r>
      </w:hyperlink>
      <w:r w:rsidRPr="00BE538F">
        <w:rPr>
          <w:rFonts w:ascii="Arial" w:hAnsi="Arial" w:cs="Arial"/>
          <w:sz w:val="24"/>
          <w:szCs w:val="24"/>
        </w:rPr>
        <w:t xml:space="preserve">. The only document identified through our research was ‘Planning for onshore green hydrogen’ by </w:t>
      </w:r>
      <w:proofErr w:type="spellStart"/>
      <w:r w:rsidRPr="00BE538F">
        <w:rPr>
          <w:rFonts w:ascii="Arial" w:hAnsi="Arial" w:cs="Arial"/>
          <w:sz w:val="24"/>
          <w:szCs w:val="24"/>
        </w:rPr>
        <w:t>RenewableUK</w:t>
      </w:r>
      <w:proofErr w:type="spellEnd"/>
      <w:r w:rsidRPr="00BE538F">
        <w:rPr>
          <w:rFonts w:ascii="Arial" w:hAnsi="Arial" w:cs="Arial"/>
          <w:sz w:val="24"/>
          <w:szCs w:val="24"/>
        </w:rPr>
        <w:t>, which also identifies the challenges around a lack of official guidance</w:t>
      </w:r>
      <w:r w:rsidR="004B207F" w:rsidRPr="00BE538F">
        <w:rPr>
          <w:rFonts w:ascii="Arial" w:hAnsi="Arial" w:cs="Arial"/>
          <w:sz w:val="24"/>
          <w:szCs w:val="24"/>
        </w:rPr>
        <w:t xml:space="preserve"> </w:t>
      </w:r>
      <w:hyperlink r:id="rId68" w:history="1">
        <w:r w:rsidR="004B207F" w:rsidRPr="00BE538F">
          <w:rPr>
            <w:rStyle w:val="Hyperlink"/>
            <w:rFonts w:ascii="Arial" w:hAnsi="Arial" w:cs="Arial"/>
            <w:sz w:val="24"/>
            <w:szCs w:val="24"/>
          </w:rPr>
          <w:t>(</w:t>
        </w:r>
        <w:proofErr w:type="spellStart"/>
        <w:r w:rsidR="004B207F" w:rsidRPr="00BE538F">
          <w:rPr>
            <w:rStyle w:val="Hyperlink"/>
            <w:rFonts w:ascii="Arial" w:hAnsi="Arial" w:cs="Arial"/>
            <w:sz w:val="24"/>
            <w:szCs w:val="24"/>
          </w:rPr>
          <w:t>RenewableUK</w:t>
        </w:r>
        <w:proofErr w:type="spellEnd"/>
        <w:r w:rsidR="004B207F" w:rsidRPr="00BE538F">
          <w:rPr>
            <w:rStyle w:val="Hyperlink"/>
            <w:rFonts w:ascii="Arial" w:hAnsi="Arial" w:cs="Arial"/>
            <w:sz w:val="24"/>
            <w:szCs w:val="24"/>
          </w:rPr>
          <w:t>, 2023)</w:t>
        </w:r>
      </w:hyperlink>
      <w:r w:rsidR="004B207F" w:rsidRPr="00BE538F">
        <w:rPr>
          <w:rFonts w:ascii="Arial" w:hAnsi="Arial" w:cs="Arial"/>
          <w:sz w:val="24"/>
          <w:szCs w:val="24"/>
        </w:rPr>
        <w:t>.</w:t>
      </w:r>
      <w:r w:rsidRPr="00BE538F">
        <w:rPr>
          <w:rFonts w:ascii="Arial" w:hAnsi="Arial" w:cs="Arial"/>
          <w:sz w:val="24"/>
          <w:szCs w:val="24"/>
        </w:rPr>
        <w:t xml:space="preserve"> Key details from this document are:</w:t>
      </w:r>
    </w:p>
    <w:p w14:paraId="78FA8575" w14:textId="77777777" w:rsidR="00EB3550" w:rsidRPr="00BE538F" w:rsidRDefault="00EB3550" w:rsidP="00BE538F">
      <w:pPr>
        <w:pStyle w:val="ListParagraph"/>
        <w:numPr>
          <w:ilvl w:val="0"/>
          <w:numId w:val="29"/>
        </w:numPr>
        <w:spacing w:after="200" w:line="360" w:lineRule="auto"/>
        <w:rPr>
          <w:rFonts w:ascii="Arial" w:hAnsi="Arial" w:cs="Arial"/>
          <w:sz w:val="24"/>
          <w:szCs w:val="24"/>
        </w:rPr>
      </w:pPr>
      <w:r w:rsidRPr="00BE538F">
        <w:rPr>
          <w:rFonts w:ascii="Arial" w:hAnsi="Arial" w:cs="Arial"/>
          <w:sz w:val="24"/>
          <w:szCs w:val="24"/>
        </w:rPr>
        <w:t>Issues raised by consultees which require addressing:</w:t>
      </w:r>
    </w:p>
    <w:p w14:paraId="3DDED583" w14:textId="7906619E" w:rsidR="00EB3550" w:rsidRPr="00BE538F" w:rsidRDefault="00EB3550" w:rsidP="00BE538F">
      <w:pPr>
        <w:pStyle w:val="ListParagraph"/>
        <w:numPr>
          <w:ilvl w:val="1"/>
          <w:numId w:val="29"/>
        </w:numPr>
        <w:spacing w:after="200" w:line="360" w:lineRule="auto"/>
        <w:rPr>
          <w:rFonts w:ascii="Arial" w:hAnsi="Arial" w:cs="Arial"/>
          <w:sz w:val="24"/>
          <w:szCs w:val="24"/>
        </w:rPr>
      </w:pPr>
      <w:r w:rsidRPr="00BE538F">
        <w:rPr>
          <w:rFonts w:ascii="Arial" w:hAnsi="Arial" w:cs="Arial"/>
          <w:sz w:val="24"/>
          <w:szCs w:val="24"/>
        </w:rPr>
        <w:t>Noise (electrolysers and compressors)</w:t>
      </w:r>
      <w:r w:rsidR="004B207F" w:rsidRPr="00BE538F">
        <w:rPr>
          <w:rFonts w:ascii="Arial" w:hAnsi="Arial" w:cs="Arial"/>
          <w:sz w:val="24"/>
          <w:szCs w:val="24"/>
        </w:rPr>
        <w:t>;</w:t>
      </w:r>
    </w:p>
    <w:p w14:paraId="28B1CDBF" w14:textId="755100F3" w:rsidR="00EB3550" w:rsidRPr="00BE538F" w:rsidRDefault="00EB3550" w:rsidP="00BE538F">
      <w:pPr>
        <w:pStyle w:val="ListParagraph"/>
        <w:numPr>
          <w:ilvl w:val="1"/>
          <w:numId w:val="29"/>
        </w:numPr>
        <w:spacing w:after="200" w:line="360" w:lineRule="auto"/>
        <w:rPr>
          <w:rFonts w:ascii="Arial" w:hAnsi="Arial" w:cs="Arial"/>
          <w:sz w:val="24"/>
          <w:szCs w:val="24"/>
        </w:rPr>
      </w:pPr>
      <w:r w:rsidRPr="00BE538F">
        <w:rPr>
          <w:rFonts w:ascii="Arial" w:hAnsi="Arial" w:cs="Arial"/>
          <w:sz w:val="24"/>
          <w:szCs w:val="24"/>
        </w:rPr>
        <w:lastRenderedPageBreak/>
        <w:t>Vehicle movements for deliveries</w:t>
      </w:r>
      <w:r w:rsidR="004B207F" w:rsidRPr="00BE538F">
        <w:rPr>
          <w:rFonts w:ascii="Arial" w:hAnsi="Arial" w:cs="Arial"/>
          <w:sz w:val="24"/>
          <w:szCs w:val="24"/>
        </w:rPr>
        <w:t>;</w:t>
      </w:r>
    </w:p>
    <w:p w14:paraId="482ED2FB" w14:textId="6F6D1E55" w:rsidR="00EB3550" w:rsidRPr="00BE538F" w:rsidRDefault="00EB3550" w:rsidP="00BE538F">
      <w:pPr>
        <w:pStyle w:val="ListParagraph"/>
        <w:numPr>
          <w:ilvl w:val="1"/>
          <w:numId w:val="29"/>
        </w:numPr>
        <w:spacing w:after="200" w:line="360" w:lineRule="auto"/>
        <w:rPr>
          <w:rFonts w:ascii="Arial" w:hAnsi="Arial" w:cs="Arial"/>
          <w:sz w:val="24"/>
          <w:szCs w:val="24"/>
        </w:rPr>
      </w:pPr>
      <w:r w:rsidRPr="00BE538F">
        <w:rPr>
          <w:rFonts w:ascii="Arial" w:hAnsi="Arial" w:cs="Arial"/>
          <w:sz w:val="24"/>
          <w:szCs w:val="24"/>
        </w:rPr>
        <w:t>Drainage, water supply and pollution, especially in water-constrained areas</w:t>
      </w:r>
      <w:r w:rsidR="004B207F" w:rsidRPr="00BE538F">
        <w:rPr>
          <w:rFonts w:ascii="Arial" w:hAnsi="Arial" w:cs="Arial"/>
          <w:sz w:val="24"/>
          <w:szCs w:val="24"/>
        </w:rPr>
        <w:t>; and</w:t>
      </w:r>
    </w:p>
    <w:p w14:paraId="4760C2AC" w14:textId="02E0C8E0" w:rsidR="00EB3550" w:rsidRPr="00BE538F" w:rsidRDefault="00EB3550" w:rsidP="00BE538F">
      <w:pPr>
        <w:pStyle w:val="ListParagraph"/>
        <w:numPr>
          <w:ilvl w:val="1"/>
          <w:numId w:val="29"/>
        </w:numPr>
        <w:spacing w:after="200" w:line="360" w:lineRule="auto"/>
        <w:rPr>
          <w:rFonts w:ascii="Arial" w:hAnsi="Arial" w:cs="Arial"/>
          <w:sz w:val="24"/>
          <w:szCs w:val="24"/>
        </w:rPr>
      </w:pPr>
      <w:r w:rsidRPr="00BE538F">
        <w:rPr>
          <w:rFonts w:ascii="Arial" w:hAnsi="Arial" w:cs="Arial"/>
          <w:sz w:val="24"/>
          <w:szCs w:val="24"/>
        </w:rPr>
        <w:t>Health &amp; safet</w:t>
      </w:r>
      <w:r w:rsidR="004B207F" w:rsidRPr="00BE538F">
        <w:rPr>
          <w:rFonts w:ascii="Arial" w:hAnsi="Arial" w:cs="Arial"/>
          <w:sz w:val="24"/>
          <w:szCs w:val="24"/>
        </w:rPr>
        <w:t>y.</w:t>
      </w:r>
    </w:p>
    <w:p w14:paraId="66191201" w14:textId="77777777" w:rsidR="00EB3550" w:rsidRPr="00BE538F" w:rsidRDefault="00EB3550" w:rsidP="00BE538F">
      <w:pPr>
        <w:pStyle w:val="ListParagraph"/>
        <w:numPr>
          <w:ilvl w:val="0"/>
          <w:numId w:val="29"/>
        </w:numPr>
        <w:spacing w:after="200" w:line="360" w:lineRule="auto"/>
        <w:rPr>
          <w:rFonts w:ascii="Arial" w:hAnsi="Arial" w:cs="Arial"/>
          <w:sz w:val="24"/>
          <w:szCs w:val="24"/>
        </w:rPr>
      </w:pPr>
      <w:r w:rsidRPr="00BE538F">
        <w:rPr>
          <w:rFonts w:ascii="Arial" w:hAnsi="Arial" w:cs="Arial"/>
          <w:sz w:val="24"/>
          <w:szCs w:val="24"/>
        </w:rPr>
        <w:t>Key regulatory regimes:</w:t>
      </w:r>
    </w:p>
    <w:p w14:paraId="6AD4A22D" w14:textId="1384D099" w:rsidR="00EB3550" w:rsidRPr="00BE538F" w:rsidRDefault="00EB3550" w:rsidP="00BE538F">
      <w:pPr>
        <w:pStyle w:val="ListParagraph"/>
        <w:numPr>
          <w:ilvl w:val="1"/>
          <w:numId w:val="29"/>
        </w:numPr>
        <w:spacing w:after="200" w:line="360" w:lineRule="auto"/>
        <w:rPr>
          <w:rFonts w:ascii="Arial" w:hAnsi="Arial" w:cs="Arial"/>
          <w:sz w:val="24"/>
          <w:szCs w:val="24"/>
        </w:rPr>
      </w:pPr>
      <w:r w:rsidRPr="00BE538F">
        <w:rPr>
          <w:rFonts w:ascii="Arial" w:hAnsi="Arial" w:cs="Arial"/>
          <w:sz w:val="24"/>
          <w:szCs w:val="24"/>
        </w:rPr>
        <w:t>Hazardous substances consent</w:t>
      </w:r>
      <w:r w:rsidR="004B207F" w:rsidRPr="00BE538F">
        <w:rPr>
          <w:rFonts w:ascii="Arial" w:hAnsi="Arial" w:cs="Arial"/>
          <w:sz w:val="24"/>
          <w:szCs w:val="24"/>
        </w:rPr>
        <w:t>;</w:t>
      </w:r>
    </w:p>
    <w:p w14:paraId="7A5E952D" w14:textId="407E1673" w:rsidR="00EB3550" w:rsidRPr="00BE538F" w:rsidRDefault="00EB3550" w:rsidP="00BE538F">
      <w:pPr>
        <w:pStyle w:val="ListParagraph"/>
        <w:numPr>
          <w:ilvl w:val="1"/>
          <w:numId w:val="29"/>
        </w:numPr>
        <w:spacing w:after="200" w:line="360" w:lineRule="auto"/>
        <w:rPr>
          <w:rFonts w:ascii="Arial" w:hAnsi="Arial" w:cs="Arial"/>
          <w:sz w:val="24"/>
          <w:szCs w:val="24"/>
        </w:rPr>
      </w:pPr>
      <w:r w:rsidRPr="00BE538F">
        <w:rPr>
          <w:rFonts w:ascii="Arial" w:hAnsi="Arial" w:cs="Arial"/>
          <w:sz w:val="24"/>
          <w:szCs w:val="24"/>
        </w:rPr>
        <w:t>Control of major accident hazards</w:t>
      </w:r>
      <w:r w:rsidR="004B207F" w:rsidRPr="00BE538F">
        <w:rPr>
          <w:rFonts w:ascii="Arial" w:hAnsi="Arial" w:cs="Arial"/>
          <w:sz w:val="24"/>
          <w:szCs w:val="24"/>
        </w:rPr>
        <w:t>;</w:t>
      </w:r>
    </w:p>
    <w:p w14:paraId="198DD0DE" w14:textId="4F9FBE38" w:rsidR="00EB3550" w:rsidRPr="00BE538F" w:rsidRDefault="00EB3550" w:rsidP="00BE538F">
      <w:pPr>
        <w:pStyle w:val="ListParagraph"/>
        <w:numPr>
          <w:ilvl w:val="1"/>
          <w:numId w:val="29"/>
        </w:numPr>
        <w:spacing w:after="200" w:line="360" w:lineRule="auto"/>
        <w:rPr>
          <w:rFonts w:ascii="Arial" w:hAnsi="Arial" w:cs="Arial"/>
          <w:sz w:val="24"/>
          <w:szCs w:val="24"/>
        </w:rPr>
      </w:pPr>
      <w:r w:rsidRPr="00BE538F">
        <w:rPr>
          <w:rFonts w:ascii="Arial" w:hAnsi="Arial" w:cs="Arial"/>
          <w:sz w:val="24"/>
          <w:szCs w:val="24"/>
        </w:rPr>
        <w:t>Environmental permitting</w:t>
      </w:r>
      <w:r w:rsidR="004B207F" w:rsidRPr="00BE538F">
        <w:rPr>
          <w:rFonts w:ascii="Arial" w:hAnsi="Arial" w:cs="Arial"/>
          <w:sz w:val="24"/>
          <w:szCs w:val="24"/>
        </w:rPr>
        <w:t>; and</w:t>
      </w:r>
    </w:p>
    <w:p w14:paraId="70928F51" w14:textId="77777777" w:rsidR="00EB3550" w:rsidRPr="00BE538F" w:rsidRDefault="00EB3550" w:rsidP="00BE538F">
      <w:pPr>
        <w:pStyle w:val="ListParagraph"/>
        <w:numPr>
          <w:ilvl w:val="1"/>
          <w:numId w:val="29"/>
        </w:numPr>
        <w:spacing w:after="200" w:line="360" w:lineRule="auto"/>
        <w:rPr>
          <w:rFonts w:ascii="Arial" w:hAnsi="Arial" w:cs="Arial"/>
          <w:sz w:val="24"/>
          <w:szCs w:val="24"/>
        </w:rPr>
      </w:pPr>
      <w:r w:rsidRPr="00BE538F">
        <w:rPr>
          <w:rFonts w:ascii="Arial" w:hAnsi="Arial" w:cs="Arial"/>
          <w:sz w:val="24"/>
          <w:szCs w:val="24"/>
        </w:rPr>
        <w:t>Water abstraction and discharge licencing.</w:t>
      </w:r>
    </w:p>
    <w:p w14:paraId="4190F8E2" w14:textId="77777777" w:rsidR="00EB3550" w:rsidRPr="00BE538F" w:rsidRDefault="00EB3550" w:rsidP="00527B0F">
      <w:pPr>
        <w:pStyle w:val="Heading2"/>
        <w:rPr>
          <w:rFonts w:ascii="Arial" w:hAnsi="Arial" w:cs="Arial"/>
        </w:rPr>
      </w:pPr>
      <w:bookmarkStart w:id="90" w:name="_Toc188013980"/>
      <w:bookmarkStart w:id="91" w:name="_Toc198879987"/>
      <w:r w:rsidRPr="00BE538F">
        <w:rPr>
          <w:rFonts w:ascii="Arial" w:hAnsi="Arial" w:cs="Arial"/>
        </w:rPr>
        <w:t>9.2 Advice from England, Scotland and Northern Ireland</w:t>
      </w:r>
      <w:bookmarkEnd w:id="90"/>
      <w:bookmarkEnd w:id="91"/>
    </w:p>
    <w:p w14:paraId="71A8C3A6" w14:textId="158F330E"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A practice note published by Thomson Reuters for hydrogen projects sets out useful advice on the licences and planning process, although it is focused on guiding developers, funders and off-takers, rather than planners, and is not specific to green hydrogen</w:t>
      </w:r>
      <w:r w:rsidR="002E77DE" w:rsidRPr="00BE538F">
        <w:rPr>
          <w:rFonts w:ascii="Arial" w:hAnsi="Arial" w:cs="Arial"/>
          <w:sz w:val="24"/>
          <w:szCs w:val="24"/>
        </w:rPr>
        <w:t xml:space="preserve"> </w:t>
      </w:r>
      <w:hyperlink r:id="rId69" w:anchor=":~:text=A%20consent%20is%20required%20under,tonnes%20or%20more%20of%20hydrogen.pdf" w:history="1">
        <w:r w:rsidR="002E77DE" w:rsidRPr="00BE538F">
          <w:rPr>
            <w:rStyle w:val="Hyperlink"/>
            <w:rFonts w:ascii="Arial" w:hAnsi="Arial" w:cs="Arial"/>
            <w:sz w:val="24"/>
            <w:szCs w:val="24"/>
          </w:rPr>
          <w:t>(</w:t>
        </w:r>
        <w:proofErr w:type="spellStart"/>
        <w:r w:rsidR="002E77DE" w:rsidRPr="00BE538F">
          <w:rPr>
            <w:rStyle w:val="Hyperlink"/>
            <w:rFonts w:ascii="Arial" w:hAnsi="Arial" w:cs="Arial"/>
            <w:sz w:val="24"/>
            <w:szCs w:val="24"/>
          </w:rPr>
          <w:t>Nardell</w:t>
        </w:r>
        <w:proofErr w:type="spellEnd"/>
        <w:r w:rsidR="008655CD" w:rsidRPr="00BE538F">
          <w:rPr>
            <w:rStyle w:val="Hyperlink"/>
            <w:rFonts w:ascii="Arial" w:hAnsi="Arial" w:cs="Arial"/>
            <w:sz w:val="24"/>
            <w:szCs w:val="24"/>
          </w:rPr>
          <w:t>, et al, 2021)</w:t>
        </w:r>
      </w:hyperlink>
      <w:r w:rsidR="008655CD" w:rsidRPr="00BE538F">
        <w:rPr>
          <w:rFonts w:ascii="Arial" w:hAnsi="Arial" w:cs="Arial"/>
          <w:sz w:val="24"/>
          <w:szCs w:val="24"/>
        </w:rPr>
        <w:t>.</w:t>
      </w:r>
    </w:p>
    <w:p w14:paraId="7266B76E" w14:textId="767D287A"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Scotland has a hydrogen policy statement (2020), though it doesn’t provide guidance, only committing to further developing a clear framework and plan</w:t>
      </w:r>
      <w:r w:rsidR="00415DC1" w:rsidRPr="00BE538F">
        <w:rPr>
          <w:rFonts w:ascii="Arial" w:hAnsi="Arial" w:cs="Arial"/>
          <w:sz w:val="24"/>
          <w:szCs w:val="24"/>
        </w:rPr>
        <w:t xml:space="preserve"> </w:t>
      </w:r>
      <w:hyperlink r:id="rId70" w:history="1">
        <w:r w:rsidR="00415DC1" w:rsidRPr="00BE538F">
          <w:rPr>
            <w:rStyle w:val="Hyperlink"/>
            <w:rFonts w:ascii="Arial" w:hAnsi="Arial" w:cs="Arial"/>
            <w:sz w:val="24"/>
            <w:szCs w:val="24"/>
          </w:rPr>
          <w:t>(Scottish Government, 2020)</w:t>
        </w:r>
      </w:hyperlink>
      <w:r w:rsidRPr="00BE538F">
        <w:rPr>
          <w:rFonts w:ascii="Arial" w:hAnsi="Arial" w:cs="Arial"/>
          <w:sz w:val="24"/>
          <w:szCs w:val="24"/>
        </w:rPr>
        <w:t>. More recently, Scottish Government published its Hydrogen Action Plan (2022), which does state a goal to produce consenting guidance, though this was intended to be published in 2023 and has not yet come out</w:t>
      </w:r>
      <w:r w:rsidR="001B63C0" w:rsidRPr="00BE538F">
        <w:rPr>
          <w:rFonts w:ascii="Arial" w:hAnsi="Arial" w:cs="Arial"/>
          <w:sz w:val="24"/>
          <w:szCs w:val="24"/>
        </w:rPr>
        <w:t xml:space="preserve"> </w:t>
      </w:r>
      <w:hyperlink r:id="rId71" w:history="1">
        <w:r w:rsidR="001B63C0" w:rsidRPr="00BE538F">
          <w:rPr>
            <w:rStyle w:val="Hyperlink"/>
            <w:rFonts w:ascii="Arial" w:hAnsi="Arial" w:cs="Arial"/>
            <w:sz w:val="24"/>
            <w:szCs w:val="24"/>
          </w:rPr>
          <w:t>(Scottish Government, 2022)</w:t>
        </w:r>
      </w:hyperlink>
      <w:r w:rsidRPr="00BE538F">
        <w:rPr>
          <w:rFonts w:ascii="Arial" w:hAnsi="Arial" w:cs="Arial"/>
          <w:sz w:val="24"/>
          <w:szCs w:val="24"/>
        </w:rPr>
        <w:t>.</w:t>
      </w:r>
      <w:r w:rsidR="001B63C0" w:rsidRPr="00BE538F">
        <w:rPr>
          <w:rFonts w:ascii="Arial" w:hAnsi="Arial" w:cs="Arial"/>
          <w:sz w:val="24"/>
          <w:szCs w:val="24"/>
        </w:rPr>
        <w:t xml:space="preserve"> </w:t>
      </w:r>
      <w:r w:rsidRPr="00BE538F">
        <w:rPr>
          <w:rFonts w:ascii="Arial" w:hAnsi="Arial" w:cs="Arial"/>
          <w:sz w:val="24"/>
          <w:szCs w:val="24"/>
        </w:rPr>
        <w:t>The Scottish Government worked with University of Edinburgh, University of Strathclyde and University of Aberdeen to design the Introduction to Hydrogen for the Public Sector course for all local planning professionals throughout Scotland which consists of a series of three videos available to access online</w:t>
      </w:r>
      <w:r w:rsidR="001B63C0" w:rsidRPr="00BE538F">
        <w:rPr>
          <w:rFonts w:ascii="Arial" w:hAnsi="Arial" w:cs="Arial"/>
          <w:sz w:val="24"/>
          <w:szCs w:val="24"/>
        </w:rPr>
        <w:t xml:space="preserve"> </w:t>
      </w:r>
      <w:hyperlink r:id="rId72" w:history="1">
        <w:r w:rsidR="001B63C0" w:rsidRPr="00BE538F">
          <w:rPr>
            <w:rStyle w:val="Hyperlink"/>
            <w:rFonts w:ascii="Arial" w:hAnsi="Arial" w:cs="Arial"/>
            <w:sz w:val="24"/>
            <w:szCs w:val="24"/>
          </w:rPr>
          <w:t>(</w:t>
        </w:r>
        <w:r w:rsidR="00F867A0" w:rsidRPr="00BE538F">
          <w:rPr>
            <w:rStyle w:val="Hyperlink"/>
            <w:rFonts w:ascii="Arial" w:hAnsi="Arial" w:cs="Arial"/>
            <w:sz w:val="24"/>
            <w:szCs w:val="24"/>
          </w:rPr>
          <w:t xml:space="preserve">Improvement Service, </w:t>
        </w:r>
        <w:r w:rsidR="00E24473" w:rsidRPr="00BE538F">
          <w:rPr>
            <w:rStyle w:val="Hyperlink"/>
            <w:rFonts w:ascii="Arial" w:hAnsi="Arial" w:cs="Arial"/>
            <w:sz w:val="24"/>
            <w:szCs w:val="24"/>
          </w:rPr>
          <w:t>2025)</w:t>
        </w:r>
      </w:hyperlink>
      <w:r w:rsidRPr="00BE538F">
        <w:rPr>
          <w:rFonts w:ascii="Arial" w:hAnsi="Arial" w:cs="Arial"/>
          <w:sz w:val="24"/>
          <w:szCs w:val="24"/>
        </w:rPr>
        <w:t>.</w:t>
      </w:r>
    </w:p>
    <w:p w14:paraId="6997E82D" w14:textId="60F1D6BD"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Northern Ireland has no explicit guidance or documentation around hydrogen, though the 2015 planning regulations do give scales for when storage projects become major developments.</w:t>
      </w:r>
      <w:r w:rsidR="00E24473" w:rsidRPr="00BE538F">
        <w:rPr>
          <w:rFonts w:ascii="Arial" w:hAnsi="Arial" w:cs="Arial"/>
          <w:sz w:val="24"/>
          <w:szCs w:val="24"/>
        </w:rPr>
        <w:t xml:space="preserve"> </w:t>
      </w:r>
      <w:r w:rsidRPr="00BE538F">
        <w:rPr>
          <w:rFonts w:ascii="Arial" w:hAnsi="Arial" w:cs="Arial"/>
          <w:sz w:val="24"/>
          <w:szCs w:val="24"/>
        </w:rPr>
        <w:t>Major developments are defined as having a storage capacity expected at 30,000 tonnes or more, while prescribed major developments have a capacity of 200,000 tonnes or more, or include underground geological storage.</w:t>
      </w:r>
    </w:p>
    <w:p w14:paraId="03B2F1E0" w14:textId="77777777" w:rsidR="00EB3550" w:rsidRPr="00BE538F" w:rsidRDefault="00EB3550" w:rsidP="00527B0F">
      <w:pPr>
        <w:pStyle w:val="Heading2"/>
        <w:rPr>
          <w:rFonts w:ascii="Arial" w:hAnsi="Arial" w:cs="Arial"/>
        </w:rPr>
      </w:pPr>
      <w:bookmarkStart w:id="92" w:name="_Toc188013981"/>
      <w:bookmarkStart w:id="93" w:name="_Toc198879988"/>
      <w:r w:rsidRPr="00BE538F">
        <w:rPr>
          <w:rFonts w:ascii="Arial" w:hAnsi="Arial" w:cs="Arial"/>
        </w:rPr>
        <w:lastRenderedPageBreak/>
        <w:t>9.3 Wales</w:t>
      </w:r>
      <w:bookmarkEnd w:id="92"/>
      <w:bookmarkEnd w:id="93"/>
    </w:p>
    <w:p w14:paraId="02F5C498" w14:textId="3541950D"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 xml:space="preserve">A report by Marubeni </w:t>
      </w:r>
      <w:proofErr w:type="spellStart"/>
      <w:r w:rsidRPr="00BE538F">
        <w:rPr>
          <w:rFonts w:ascii="Arial" w:hAnsi="Arial" w:cs="Arial"/>
          <w:sz w:val="24"/>
          <w:szCs w:val="24"/>
        </w:rPr>
        <w:t>Europower</w:t>
      </w:r>
      <w:proofErr w:type="spellEnd"/>
      <w:r w:rsidRPr="00BE538F">
        <w:rPr>
          <w:rFonts w:ascii="Arial" w:hAnsi="Arial" w:cs="Arial"/>
          <w:sz w:val="24"/>
          <w:szCs w:val="24"/>
        </w:rPr>
        <w:t>, funded by the Welsh Government, gives a case study example of a project in Bridgend</w:t>
      </w:r>
      <w:r w:rsidR="00D61E33" w:rsidRPr="00BE538F">
        <w:rPr>
          <w:rFonts w:ascii="Arial" w:hAnsi="Arial" w:cs="Arial"/>
          <w:sz w:val="24"/>
          <w:szCs w:val="24"/>
        </w:rPr>
        <w:t xml:space="preserve"> </w:t>
      </w:r>
      <w:hyperlink r:id="rId73" w:history="1">
        <w:r w:rsidR="00D61E33" w:rsidRPr="00BE538F">
          <w:rPr>
            <w:rStyle w:val="Hyperlink"/>
            <w:rFonts w:ascii="Arial" w:hAnsi="Arial" w:cs="Arial"/>
            <w:sz w:val="24"/>
            <w:szCs w:val="24"/>
          </w:rPr>
          <w:t xml:space="preserve">(Marubeni </w:t>
        </w:r>
        <w:proofErr w:type="spellStart"/>
        <w:r w:rsidR="00D61E33" w:rsidRPr="00BE538F">
          <w:rPr>
            <w:rStyle w:val="Hyperlink"/>
            <w:rFonts w:ascii="Arial" w:hAnsi="Arial" w:cs="Arial"/>
            <w:sz w:val="24"/>
            <w:szCs w:val="24"/>
          </w:rPr>
          <w:t>Europower</w:t>
        </w:r>
        <w:proofErr w:type="spellEnd"/>
        <w:r w:rsidR="00D61E33" w:rsidRPr="00BE538F">
          <w:rPr>
            <w:rStyle w:val="Hyperlink"/>
            <w:rFonts w:ascii="Arial" w:hAnsi="Arial" w:cs="Arial"/>
            <w:sz w:val="24"/>
            <w:szCs w:val="24"/>
          </w:rPr>
          <w:t>, 2023)</w:t>
        </w:r>
      </w:hyperlink>
      <w:r w:rsidRPr="00BE538F">
        <w:rPr>
          <w:rFonts w:ascii="Arial" w:hAnsi="Arial" w:cs="Arial"/>
          <w:sz w:val="24"/>
          <w:szCs w:val="24"/>
        </w:rPr>
        <w:t>. The report is aimed at local authorities, taking them through the planning process. The report includes a list of required application documents which are typical of any planning application, and a list of likely local requirements. The likely requirements are:</w:t>
      </w:r>
    </w:p>
    <w:p w14:paraId="2983A0C2" w14:textId="01612B2D" w:rsidR="00EB3550" w:rsidRPr="00BE538F" w:rsidRDefault="00EB3550" w:rsidP="00BE538F">
      <w:pPr>
        <w:pStyle w:val="ListParagraph"/>
        <w:numPr>
          <w:ilvl w:val="0"/>
          <w:numId w:val="36"/>
        </w:numPr>
        <w:spacing w:after="200" w:line="360" w:lineRule="auto"/>
        <w:rPr>
          <w:rFonts w:ascii="Arial" w:hAnsi="Arial" w:cs="Arial"/>
          <w:sz w:val="24"/>
          <w:szCs w:val="24"/>
        </w:rPr>
      </w:pPr>
      <w:r w:rsidRPr="00BE538F">
        <w:rPr>
          <w:rFonts w:ascii="Arial" w:hAnsi="Arial" w:cs="Arial"/>
          <w:sz w:val="24"/>
          <w:szCs w:val="24"/>
        </w:rPr>
        <w:t>Flood consequences assessment if the project is within zones C1 or C2 as specified in Technical Advice Note 15</w:t>
      </w:r>
      <w:r w:rsidR="0051442C" w:rsidRPr="00BE538F">
        <w:rPr>
          <w:rFonts w:ascii="Arial" w:hAnsi="Arial" w:cs="Arial"/>
          <w:sz w:val="24"/>
          <w:szCs w:val="24"/>
        </w:rPr>
        <w:t xml:space="preserve"> </w:t>
      </w:r>
      <w:hyperlink r:id="rId74" w:history="1">
        <w:r w:rsidR="0051442C" w:rsidRPr="00BE538F">
          <w:rPr>
            <w:rStyle w:val="Hyperlink"/>
            <w:rFonts w:ascii="Arial" w:hAnsi="Arial" w:cs="Arial"/>
            <w:sz w:val="24"/>
            <w:szCs w:val="24"/>
          </w:rPr>
          <w:t>(Welsh Government, 2021)</w:t>
        </w:r>
      </w:hyperlink>
      <w:r w:rsidR="00EA7036" w:rsidRPr="00BE538F">
        <w:rPr>
          <w:rFonts w:ascii="Arial" w:hAnsi="Arial" w:cs="Arial"/>
          <w:sz w:val="24"/>
          <w:szCs w:val="24"/>
        </w:rPr>
        <w:t>;</w:t>
      </w:r>
    </w:p>
    <w:p w14:paraId="39BB0C65" w14:textId="5B9D5A69" w:rsidR="00EB3550" w:rsidRPr="00BE538F" w:rsidRDefault="00EB3550" w:rsidP="00BE538F">
      <w:pPr>
        <w:pStyle w:val="ListParagraph"/>
        <w:numPr>
          <w:ilvl w:val="0"/>
          <w:numId w:val="36"/>
        </w:numPr>
        <w:spacing w:after="200" w:line="360" w:lineRule="auto"/>
        <w:rPr>
          <w:rFonts w:ascii="Arial" w:hAnsi="Arial" w:cs="Arial"/>
          <w:sz w:val="24"/>
          <w:szCs w:val="24"/>
        </w:rPr>
      </w:pPr>
      <w:r w:rsidRPr="00BE538F">
        <w:rPr>
          <w:rFonts w:ascii="Arial" w:hAnsi="Arial" w:cs="Arial"/>
          <w:sz w:val="24"/>
          <w:szCs w:val="24"/>
        </w:rPr>
        <w:t>Coal mining assessment if the project is within a coal authority consultation area</w:t>
      </w:r>
      <w:r w:rsidR="00EA7036" w:rsidRPr="00BE538F">
        <w:rPr>
          <w:rFonts w:ascii="Arial" w:hAnsi="Arial" w:cs="Arial"/>
          <w:sz w:val="24"/>
          <w:szCs w:val="24"/>
        </w:rPr>
        <w:t>;</w:t>
      </w:r>
    </w:p>
    <w:p w14:paraId="57D747F8" w14:textId="5DD06761" w:rsidR="00EB3550" w:rsidRPr="00BE538F" w:rsidRDefault="00EB3550" w:rsidP="00BE538F">
      <w:pPr>
        <w:pStyle w:val="ListParagraph"/>
        <w:numPr>
          <w:ilvl w:val="0"/>
          <w:numId w:val="36"/>
        </w:numPr>
        <w:spacing w:after="200" w:line="360" w:lineRule="auto"/>
        <w:rPr>
          <w:rFonts w:ascii="Arial" w:hAnsi="Arial" w:cs="Arial"/>
          <w:sz w:val="24"/>
          <w:szCs w:val="24"/>
        </w:rPr>
      </w:pPr>
      <w:r w:rsidRPr="00BE538F">
        <w:rPr>
          <w:rFonts w:ascii="Arial" w:hAnsi="Arial" w:cs="Arial"/>
          <w:sz w:val="24"/>
          <w:szCs w:val="24"/>
        </w:rPr>
        <w:t>Air quality/odour assessment – mainly related to vehicle movements if there are nearby sensitive receptors</w:t>
      </w:r>
      <w:r w:rsidR="00EA7036" w:rsidRPr="00BE538F">
        <w:rPr>
          <w:rFonts w:ascii="Arial" w:hAnsi="Arial" w:cs="Arial"/>
          <w:sz w:val="24"/>
          <w:szCs w:val="24"/>
        </w:rPr>
        <w:t>;</w:t>
      </w:r>
    </w:p>
    <w:p w14:paraId="78F0E7A8" w14:textId="1B1D8D4D" w:rsidR="00EB3550" w:rsidRPr="00BE538F" w:rsidRDefault="00EB3550" w:rsidP="00BE538F">
      <w:pPr>
        <w:pStyle w:val="ListParagraph"/>
        <w:numPr>
          <w:ilvl w:val="0"/>
          <w:numId w:val="36"/>
        </w:numPr>
        <w:spacing w:after="200" w:line="360" w:lineRule="auto"/>
        <w:rPr>
          <w:rFonts w:ascii="Arial" w:hAnsi="Arial" w:cs="Arial"/>
          <w:sz w:val="24"/>
          <w:szCs w:val="24"/>
        </w:rPr>
      </w:pPr>
      <w:r w:rsidRPr="00BE538F">
        <w:rPr>
          <w:rFonts w:ascii="Arial" w:hAnsi="Arial" w:cs="Arial"/>
          <w:sz w:val="24"/>
          <w:szCs w:val="24"/>
        </w:rPr>
        <w:t>Contaminated land/ground investigation assessment</w:t>
      </w:r>
      <w:r w:rsidR="00EA7036" w:rsidRPr="00BE538F">
        <w:rPr>
          <w:rFonts w:ascii="Arial" w:hAnsi="Arial" w:cs="Arial"/>
          <w:sz w:val="24"/>
          <w:szCs w:val="24"/>
        </w:rPr>
        <w:t>;</w:t>
      </w:r>
    </w:p>
    <w:p w14:paraId="4CF40DD1" w14:textId="5DB00993" w:rsidR="00EB3550" w:rsidRPr="00BE538F" w:rsidRDefault="00EB3550" w:rsidP="00BE538F">
      <w:pPr>
        <w:pStyle w:val="ListParagraph"/>
        <w:numPr>
          <w:ilvl w:val="0"/>
          <w:numId w:val="36"/>
        </w:numPr>
        <w:spacing w:after="200" w:line="360" w:lineRule="auto"/>
        <w:rPr>
          <w:rFonts w:ascii="Arial" w:hAnsi="Arial" w:cs="Arial"/>
          <w:sz w:val="24"/>
          <w:szCs w:val="24"/>
        </w:rPr>
      </w:pPr>
      <w:r w:rsidRPr="00BE538F">
        <w:rPr>
          <w:rFonts w:ascii="Arial" w:hAnsi="Arial" w:cs="Arial"/>
          <w:sz w:val="24"/>
          <w:szCs w:val="24"/>
        </w:rPr>
        <w:t>Tree survey if there are trees within or adjoining the site</w:t>
      </w:r>
      <w:r w:rsidR="00EA7036" w:rsidRPr="00BE538F">
        <w:rPr>
          <w:rFonts w:ascii="Arial" w:hAnsi="Arial" w:cs="Arial"/>
          <w:sz w:val="24"/>
          <w:szCs w:val="24"/>
        </w:rPr>
        <w:t>;</w:t>
      </w:r>
    </w:p>
    <w:p w14:paraId="49C2F972" w14:textId="057F0A1E" w:rsidR="00EB3550" w:rsidRPr="00BE538F" w:rsidRDefault="00EB3550" w:rsidP="00BE538F">
      <w:pPr>
        <w:pStyle w:val="ListParagraph"/>
        <w:numPr>
          <w:ilvl w:val="0"/>
          <w:numId w:val="36"/>
        </w:numPr>
        <w:spacing w:after="200" w:line="360" w:lineRule="auto"/>
        <w:rPr>
          <w:rFonts w:ascii="Arial" w:hAnsi="Arial" w:cs="Arial"/>
          <w:sz w:val="24"/>
          <w:szCs w:val="24"/>
        </w:rPr>
      </w:pPr>
      <w:r w:rsidRPr="00BE538F">
        <w:rPr>
          <w:rFonts w:ascii="Arial" w:hAnsi="Arial" w:cs="Arial"/>
          <w:sz w:val="24"/>
          <w:szCs w:val="24"/>
        </w:rPr>
        <w:t>Foul and surface water drainage survey</w:t>
      </w:r>
      <w:r w:rsidR="00EA7036" w:rsidRPr="00BE538F">
        <w:rPr>
          <w:rFonts w:ascii="Arial" w:hAnsi="Arial" w:cs="Arial"/>
          <w:sz w:val="24"/>
          <w:szCs w:val="24"/>
        </w:rPr>
        <w:t>;</w:t>
      </w:r>
    </w:p>
    <w:p w14:paraId="57E8612E" w14:textId="649F8AE6" w:rsidR="00EB3550" w:rsidRPr="00BE538F" w:rsidRDefault="00EB3550" w:rsidP="00BE538F">
      <w:pPr>
        <w:pStyle w:val="ListParagraph"/>
        <w:numPr>
          <w:ilvl w:val="0"/>
          <w:numId w:val="36"/>
        </w:numPr>
        <w:spacing w:after="200" w:line="360" w:lineRule="auto"/>
        <w:rPr>
          <w:rFonts w:ascii="Arial" w:hAnsi="Arial" w:cs="Arial"/>
          <w:sz w:val="24"/>
          <w:szCs w:val="24"/>
        </w:rPr>
      </w:pPr>
      <w:r w:rsidRPr="00BE538F">
        <w:rPr>
          <w:rFonts w:ascii="Arial" w:hAnsi="Arial" w:cs="Arial"/>
          <w:sz w:val="24"/>
          <w:szCs w:val="24"/>
        </w:rPr>
        <w:t>Landscape and visual assessment</w:t>
      </w:r>
      <w:r w:rsidR="00EA7036" w:rsidRPr="00BE538F">
        <w:rPr>
          <w:rFonts w:ascii="Arial" w:hAnsi="Arial" w:cs="Arial"/>
          <w:sz w:val="24"/>
          <w:szCs w:val="24"/>
        </w:rPr>
        <w:t>;</w:t>
      </w:r>
    </w:p>
    <w:p w14:paraId="08E50897" w14:textId="07C214CC" w:rsidR="00EB3550" w:rsidRPr="00BE538F" w:rsidRDefault="00EB3550" w:rsidP="00BE538F">
      <w:pPr>
        <w:pStyle w:val="ListParagraph"/>
        <w:numPr>
          <w:ilvl w:val="0"/>
          <w:numId w:val="36"/>
        </w:numPr>
        <w:spacing w:after="200" w:line="360" w:lineRule="auto"/>
        <w:rPr>
          <w:rFonts w:ascii="Arial" w:hAnsi="Arial" w:cs="Arial"/>
          <w:sz w:val="24"/>
          <w:szCs w:val="24"/>
        </w:rPr>
      </w:pPr>
      <w:r w:rsidRPr="00BE538F">
        <w:rPr>
          <w:rFonts w:ascii="Arial" w:hAnsi="Arial" w:cs="Arial"/>
          <w:sz w:val="24"/>
          <w:szCs w:val="24"/>
        </w:rPr>
        <w:t>Ecological assessment</w:t>
      </w:r>
      <w:r w:rsidR="00EA7036" w:rsidRPr="00BE538F">
        <w:rPr>
          <w:rFonts w:ascii="Arial" w:hAnsi="Arial" w:cs="Arial"/>
          <w:sz w:val="24"/>
          <w:szCs w:val="24"/>
        </w:rPr>
        <w:t>;</w:t>
      </w:r>
    </w:p>
    <w:p w14:paraId="55874B64" w14:textId="40C13D0F" w:rsidR="00EB3550" w:rsidRPr="00BE538F" w:rsidRDefault="00EB3550" w:rsidP="00BE538F">
      <w:pPr>
        <w:pStyle w:val="ListParagraph"/>
        <w:numPr>
          <w:ilvl w:val="0"/>
          <w:numId w:val="36"/>
        </w:numPr>
        <w:spacing w:after="200" w:line="360" w:lineRule="auto"/>
        <w:rPr>
          <w:rFonts w:ascii="Arial" w:hAnsi="Arial" w:cs="Arial"/>
          <w:sz w:val="24"/>
          <w:szCs w:val="24"/>
        </w:rPr>
      </w:pPr>
      <w:r w:rsidRPr="00BE538F">
        <w:rPr>
          <w:rFonts w:ascii="Arial" w:hAnsi="Arial" w:cs="Arial"/>
          <w:sz w:val="24"/>
          <w:szCs w:val="24"/>
        </w:rPr>
        <w:t>Noise assessment dependent on nearby noise-sensitive receptors</w:t>
      </w:r>
      <w:r w:rsidR="00EA7036" w:rsidRPr="00BE538F">
        <w:rPr>
          <w:rFonts w:ascii="Arial" w:hAnsi="Arial" w:cs="Arial"/>
          <w:sz w:val="24"/>
          <w:szCs w:val="24"/>
        </w:rPr>
        <w:t>;</w:t>
      </w:r>
    </w:p>
    <w:p w14:paraId="4264208E" w14:textId="0862B575" w:rsidR="00EB3550" w:rsidRPr="00BE538F" w:rsidRDefault="00EB3550" w:rsidP="00BE538F">
      <w:pPr>
        <w:pStyle w:val="ListParagraph"/>
        <w:numPr>
          <w:ilvl w:val="0"/>
          <w:numId w:val="36"/>
        </w:numPr>
        <w:spacing w:after="200" w:line="360" w:lineRule="auto"/>
        <w:rPr>
          <w:rFonts w:ascii="Arial" w:hAnsi="Arial" w:cs="Arial"/>
          <w:sz w:val="24"/>
          <w:szCs w:val="24"/>
        </w:rPr>
      </w:pPr>
      <w:r w:rsidRPr="00BE538F">
        <w:rPr>
          <w:rFonts w:ascii="Arial" w:hAnsi="Arial" w:cs="Arial"/>
          <w:sz w:val="24"/>
          <w:szCs w:val="24"/>
        </w:rPr>
        <w:t>Transport assessment</w:t>
      </w:r>
      <w:r w:rsidR="00EA7036" w:rsidRPr="00BE538F">
        <w:rPr>
          <w:rFonts w:ascii="Arial" w:hAnsi="Arial" w:cs="Arial"/>
          <w:sz w:val="24"/>
          <w:szCs w:val="24"/>
        </w:rPr>
        <w:t>;</w:t>
      </w:r>
    </w:p>
    <w:p w14:paraId="1641D0A3" w14:textId="2854DA68" w:rsidR="00EB3550" w:rsidRPr="00BE538F" w:rsidRDefault="00EB3550" w:rsidP="00BE538F">
      <w:pPr>
        <w:pStyle w:val="ListParagraph"/>
        <w:numPr>
          <w:ilvl w:val="0"/>
          <w:numId w:val="36"/>
        </w:numPr>
        <w:spacing w:after="200" w:line="360" w:lineRule="auto"/>
        <w:rPr>
          <w:rFonts w:ascii="Arial" w:hAnsi="Arial" w:cs="Arial"/>
          <w:sz w:val="24"/>
          <w:szCs w:val="24"/>
        </w:rPr>
      </w:pPr>
      <w:r w:rsidRPr="00BE538F">
        <w:rPr>
          <w:rFonts w:ascii="Arial" w:hAnsi="Arial" w:cs="Arial"/>
          <w:sz w:val="24"/>
          <w:szCs w:val="24"/>
        </w:rPr>
        <w:t>Hazardous substances consent if two or more tonnes of hydrogen will be stored or used</w:t>
      </w:r>
      <w:r w:rsidR="00EA7036" w:rsidRPr="00BE538F">
        <w:rPr>
          <w:rFonts w:ascii="Arial" w:hAnsi="Arial" w:cs="Arial"/>
          <w:sz w:val="24"/>
          <w:szCs w:val="24"/>
        </w:rPr>
        <w:t>; and</w:t>
      </w:r>
    </w:p>
    <w:p w14:paraId="75EDCA03" w14:textId="77777777" w:rsidR="00EB3550" w:rsidRPr="00BE538F" w:rsidRDefault="00EB3550" w:rsidP="00BE538F">
      <w:pPr>
        <w:pStyle w:val="ListParagraph"/>
        <w:numPr>
          <w:ilvl w:val="0"/>
          <w:numId w:val="36"/>
        </w:numPr>
        <w:spacing w:after="200" w:line="360" w:lineRule="auto"/>
        <w:rPr>
          <w:rFonts w:ascii="Arial" w:hAnsi="Arial" w:cs="Arial"/>
          <w:sz w:val="24"/>
          <w:szCs w:val="24"/>
        </w:rPr>
      </w:pPr>
      <w:r w:rsidRPr="00BE538F">
        <w:rPr>
          <w:rFonts w:ascii="Arial" w:hAnsi="Arial" w:cs="Arial"/>
          <w:sz w:val="24"/>
          <w:szCs w:val="24"/>
        </w:rPr>
        <w:t>Control of Major Accident Hazards report if five or more tonnes of hydrogen will be stored.</w:t>
      </w:r>
    </w:p>
    <w:p w14:paraId="3E6BDC43" w14:textId="346F1288" w:rsidR="00EB3550" w:rsidRPr="00BE538F" w:rsidRDefault="002D3A70" w:rsidP="00BE538F">
      <w:pPr>
        <w:pStyle w:val="Heading1"/>
        <w:spacing w:line="276" w:lineRule="auto"/>
        <w:rPr>
          <w:rFonts w:ascii="Arial" w:hAnsi="Arial" w:cs="Arial"/>
        </w:rPr>
      </w:pPr>
      <w:bookmarkStart w:id="94" w:name="_Toc188013982"/>
      <w:bookmarkStart w:id="95" w:name="_Toc198879989"/>
      <w:r w:rsidRPr="00BE538F">
        <w:rPr>
          <w:rFonts w:ascii="Arial" w:hAnsi="Arial" w:cs="Arial"/>
        </w:rPr>
        <w:t xml:space="preserve">10. </w:t>
      </w:r>
      <w:r w:rsidR="00EB3550" w:rsidRPr="00BE538F">
        <w:rPr>
          <w:rFonts w:ascii="Arial" w:hAnsi="Arial" w:cs="Arial"/>
        </w:rPr>
        <w:t>Grid infrastructure</w:t>
      </w:r>
      <w:bookmarkEnd w:id="94"/>
      <w:bookmarkEnd w:id="95"/>
    </w:p>
    <w:p w14:paraId="4AEDC3E4" w14:textId="77777777" w:rsidR="00EB3550" w:rsidRPr="00BE538F" w:rsidRDefault="00EB3550" w:rsidP="00527B0F">
      <w:pPr>
        <w:pStyle w:val="Heading2"/>
        <w:rPr>
          <w:rFonts w:ascii="Arial" w:hAnsi="Arial" w:cs="Arial"/>
        </w:rPr>
      </w:pPr>
      <w:bookmarkStart w:id="96" w:name="_Toc188013983"/>
      <w:bookmarkStart w:id="97" w:name="_Toc198879990"/>
      <w:r w:rsidRPr="00BE538F">
        <w:rPr>
          <w:rFonts w:ascii="Arial" w:hAnsi="Arial" w:cs="Arial"/>
        </w:rPr>
        <w:t>10.1 England and Wales</w:t>
      </w:r>
      <w:bookmarkEnd w:id="96"/>
      <w:bookmarkEnd w:id="97"/>
    </w:p>
    <w:p w14:paraId="1E80DB98" w14:textId="529C3B80"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NPS EN-5, on electricity network infrastructure, states that the policy outlined in NPS EN-1 still applies to grid infrastructure</w:t>
      </w:r>
      <w:r w:rsidR="00B859F9" w:rsidRPr="00BE538F">
        <w:rPr>
          <w:rFonts w:ascii="Arial" w:hAnsi="Arial" w:cs="Arial"/>
          <w:sz w:val="24"/>
          <w:szCs w:val="24"/>
        </w:rPr>
        <w:t xml:space="preserve"> </w:t>
      </w:r>
      <w:hyperlink r:id="rId75" w:history="1">
        <w:r w:rsidR="00B859F9" w:rsidRPr="00BE538F">
          <w:rPr>
            <w:rStyle w:val="Hyperlink"/>
            <w:rFonts w:ascii="Arial" w:hAnsi="Arial" w:cs="Arial"/>
            <w:sz w:val="24"/>
            <w:szCs w:val="24"/>
          </w:rPr>
          <w:t>(DESNZ, 2023)</w:t>
        </w:r>
      </w:hyperlink>
      <w:r w:rsidRPr="00BE538F">
        <w:rPr>
          <w:rFonts w:ascii="Arial" w:hAnsi="Arial" w:cs="Arial"/>
          <w:sz w:val="24"/>
          <w:szCs w:val="24"/>
        </w:rPr>
        <w:t>. It also outlines further constraints for siting and good design:</w:t>
      </w:r>
    </w:p>
    <w:p w14:paraId="507520EC" w14:textId="77777777" w:rsidR="00EB3550" w:rsidRPr="00BE538F" w:rsidRDefault="00EB3550" w:rsidP="00BE538F">
      <w:pPr>
        <w:pStyle w:val="ListParagraph"/>
        <w:numPr>
          <w:ilvl w:val="0"/>
          <w:numId w:val="30"/>
        </w:numPr>
        <w:spacing w:after="200" w:line="360" w:lineRule="auto"/>
        <w:rPr>
          <w:rFonts w:ascii="Arial" w:hAnsi="Arial" w:cs="Arial"/>
          <w:sz w:val="24"/>
          <w:szCs w:val="24"/>
        </w:rPr>
      </w:pPr>
      <w:r w:rsidRPr="00BE538F">
        <w:rPr>
          <w:rFonts w:ascii="Arial" w:hAnsi="Arial" w:cs="Arial"/>
          <w:sz w:val="24"/>
          <w:szCs w:val="24"/>
        </w:rPr>
        <w:t>Siting is determined by:</w:t>
      </w:r>
    </w:p>
    <w:p w14:paraId="387CDB3F" w14:textId="311125CD" w:rsidR="00EB3550" w:rsidRPr="00BE538F" w:rsidRDefault="00EB3550" w:rsidP="00BE538F">
      <w:pPr>
        <w:pStyle w:val="ListParagraph"/>
        <w:numPr>
          <w:ilvl w:val="1"/>
          <w:numId w:val="30"/>
        </w:numPr>
        <w:spacing w:after="200" w:line="360" w:lineRule="auto"/>
        <w:rPr>
          <w:rFonts w:ascii="Arial" w:hAnsi="Arial" w:cs="Arial"/>
          <w:sz w:val="24"/>
          <w:szCs w:val="24"/>
        </w:rPr>
      </w:pPr>
      <w:r w:rsidRPr="00BE538F">
        <w:rPr>
          <w:rFonts w:ascii="Arial" w:hAnsi="Arial" w:cs="Arial"/>
          <w:sz w:val="24"/>
          <w:szCs w:val="24"/>
        </w:rPr>
        <w:t>The location of new generating stations or infrastructure,</w:t>
      </w:r>
      <w:r w:rsidR="00F7216B" w:rsidRPr="00BE538F">
        <w:rPr>
          <w:rFonts w:ascii="Arial" w:hAnsi="Arial" w:cs="Arial"/>
          <w:sz w:val="24"/>
          <w:szCs w:val="24"/>
        </w:rPr>
        <w:t>;</w:t>
      </w:r>
      <w:r w:rsidRPr="00BE538F">
        <w:rPr>
          <w:rFonts w:ascii="Arial" w:hAnsi="Arial" w:cs="Arial"/>
          <w:sz w:val="24"/>
          <w:szCs w:val="24"/>
        </w:rPr>
        <w:t xml:space="preserve"> and/or</w:t>
      </w:r>
    </w:p>
    <w:p w14:paraId="28F3CDBD" w14:textId="2D84730B" w:rsidR="00EB3550" w:rsidRPr="00BE538F" w:rsidRDefault="00EB3550" w:rsidP="00BE538F">
      <w:pPr>
        <w:pStyle w:val="ListParagraph"/>
        <w:numPr>
          <w:ilvl w:val="1"/>
          <w:numId w:val="30"/>
        </w:numPr>
        <w:spacing w:after="200" w:line="360" w:lineRule="auto"/>
        <w:rPr>
          <w:rFonts w:ascii="Arial" w:hAnsi="Arial" w:cs="Arial"/>
          <w:sz w:val="24"/>
          <w:szCs w:val="24"/>
        </w:rPr>
      </w:pPr>
      <w:r w:rsidRPr="00BE538F">
        <w:rPr>
          <w:rFonts w:ascii="Arial" w:hAnsi="Arial" w:cs="Arial"/>
          <w:sz w:val="24"/>
          <w:szCs w:val="24"/>
        </w:rPr>
        <w:lastRenderedPageBreak/>
        <w:t>System capacity and resilience requirements from the Energy System Operator (particularly relevant to the future delivery of the Strategic Spatial Energy Plan</w:t>
      </w:r>
      <w:r w:rsidR="00E06852" w:rsidRPr="00BE538F">
        <w:rPr>
          <w:rFonts w:ascii="Arial" w:hAnsi="Arial" w:cs="Arial"/>
          <w:sz w:val="24"/>
          <w:szCs w:val="24"/>
        </w:rPr>
        <w:t xml:space="preserve"> </w:t>
      </w:r>
      <w:hyperlink r:id="rId76" w:history="1">
        <w:r w:rsidR="00E06852" w:rsidRPr="00BE538F">
          <w:rPr>
            <w:rStyle w:val="Hyperlink"/>
            <w:rFonts w:ascii="Arial" w:hAnsi="Arial" w:cs="Arial"/>
            <w:sz w:val="24"/>
            <w:szCs w:val="24"/>
          </w:rPr>
          <w:t>(DESNZ, 2024)</w:t>
        </w:r>
      </w:hyperlink>
      <w:r w:rsidRPr="00BE538F">
        <w:rPr>
          <w:rFonts w:ascii="Arial" w:hAnsi="Arial" w:cs="Arial"/>
          <w:sz w:val="24"/>
          <w:szCs w:val="24"/>
        </w:rPr>
        <w:t>)</w:t>
      </w:r>
      <w:r w:rsidR="00F7216B" w:rsidRPr="00BE538F">
        <w:rPr>
          <w:rFonts w:ascii="Arial" w:hAnsi="Arial" w:cs="Arial"/>
          <w:sz w:val="24"/>
          <w:szCs w:val="24"/>
        </w:rPr>
        <w:t>.</w:t>
      </w:r>
    </w:p>
    <w:p w14:paraId="2C289AF0" w14:textId="77777777" w:rsidR="00EB3550" w:rsidRPr="00BE538F" w:rsidRDefault="00EB3550" w:rsidP="00BE538F">
      <w:pPr>
        <w:pStyle w:val="ListParagraph"/>
        <w:numPr>
          <w:ilvl w:val="0"/>
          <w:numId w:val="30"/>
        </w:numPr>
        <w:spacing w:after="200" w:line="360" w:lineRule="auto"/>
        <w:rPr>
          <w:rFonts w:ascii="Arial" w:hAnsi="Arial" w:cs="Arial"/>
          <w:sz w:val="24"/>
          <w:szCs w:val="24"/>
        </w:rPr>
      </w:pPr>
      <w:r w:rsidRPr="00BE538F">
        <w:rPr>
          <w:rFonts w:ascii="Arial" w:hAnsi="Arial" w:cs="Arial"/>
          <w:sz w:val="24"/>
          <w:szCs w:val="24"/>
        </w:rPr>
        <w:t>Good design:</w:t>
      </w:r>
    </w:p>
    <w:p w14:paraId="2CCCA369" w14:textId="10FF06BC" w:rsidR="00EB3550" w:rsidRPr="00BE538F" w:rsidRDefault="00EB3550" w:rsidP="00BE538F">
      <w:pPr>
        <w:pStyle w:val="ListParagraph"/>
        <w:numPr>
          <w:ilvl w:val="1"/>
          <w:numId w:val="30"/>
        </w:numPr>
        <w:spacing w:after="200" w:line="360" w:lineRule="auto"/>
        <w:rPr>
          <w:rFonts w:ascii="Arial" w:hAnsi="Arial" w:cs="Arial"/>
          <w:sz w:val="24"/>
          <w:szCs w:val="24"/>
        </w:rPr>
      </w:pPr>
      <w:r w:rsidRPr="00BE538F">
        <w:rPr>
          <w:rFonts w:ascii="Arial" w:hAnsi="Arial" w:cs="Arial"/>
          <w:sz w:val="24"/>
          <w:szCs w:val="24"/>
        </w:rPr>
        <w:t>Resilience to climate change</w:t>
      </w:r>
      <w:r w:rsidR="00F7216B" w:rsidRPr="00BE538F">
        <w:rPr>
          <w:rFonts w:ascii="Arial" w:hAnsi="Arial" w:cs="Arial"/>
          <w:sz w:val="24"/>
          <w:szCs w:val="24"/>
        </w:rPr>
        <w:t>;</w:t>
      </w:r>
    </w:p>
    <w:p w14:paraId="41A5ABCA" w14:textId="030053C5" w:rsidR="00EB3550" w:rsidRPr="00BE538F" w:rsidRDefault="00EB3550" w:rsidP="00BE538F">
      <w:pPr>
        <w:pStyle w:val="ListParagraph"/>
        <w:numPr>
          <w:ilvl w:val="1"/>
          <w:numId w:val="30"/>
        </w:numPr>
        <w:spacing w:after="200" w:line="360" w:lineRule="auto"/>
        <w:rPr>
          <w:rFonts w:ascii="Arial" w:hAnsi="Arial" w:cs="Arial"/>
          <w:sz w:val="24"/>
          <w:szCs w:val="24"/>
        </w:rPr>
      </w:pPr>
      <w:r w:rsidRPr="00BE538F">
        <w:rPr>
          <w:rFonts w:ascii="Arial" w:hAnsi="Arial" w:cs="Arial"/>
          <w:sz w:val="24"/>
          <w:szCs w:val="24"/>
        </w:rPr>
        <w:t>Environmental and biodiversity net gain</w:t>
      </w:r>
      <w:r w:rsidR="00F7216B" w:rsidRPr="00BE538F">
        <w:rPr>
          <w:rFonts w:ascii="Arial" w:hAnsi="Arial" w:cs="Arial"/>
          <w:sz w:val="24"/>
          <w:szCs w:val="24"/>
        </w:rPr>
        <w:t>;</w:t>
      </w:r>
    </w:p>
    <w:p w14:paraId="0BBC4A83" w14:textId="1473C3E3" w:rsidR="00EB3550" w:rsidRPr="00BE538F" w:rsidRDefault="00EB3550" w:rsidP="00BE538F">
      <w:pPr>
        <w:pStyle w:val="ListParagraph"/>
        <w:numPr>
          <w:ilvl w:val="1"/>
          <w:numId w:val="30"/>
        </w:numPr>
        <w:spacing w:after="200" w:line="360" w:lineRule="auto"/>
        <w:rPr>
          <w:rFonts w:ascii="Arial" w:hAnsi="Arial" w:cs="Arial"/>
          <w:sz w:val="24"/>
          <w:szCs w:val="24"/>
        </w:rPr>
      </w:pPr>
      <w:r w:rsidRPr="00BE538F">
        <w:rPr>
          <w:rFonts w:ascii="Arial" w:hAnsi="Arial" w:cs="Arial"/>
          <w:sz w:val="24"/>
          <w:szCs w:val="24"/>
        </w:rPr>
        <w:t>Land ownership/access rights for construction and maintenance</w:t>
      </w:r>
      <w:r w:rsidR="00F7216B" w:rsidRPr="00BE538F">
        <w:rPr>
          <w:rFonts w:ascii="Arial" w:hAnsi="Arial" w:cs="Arial"/>
          <w:sz w:val="24"/>
          <w:szCs w:val="24"/>
        </w:rPr>
        <w:t>;</w:t>
      </w:r>
    </w:p>
    <w:p w14:paraId="51834D2B" w14:textId="5ACB1E88" w:rsidR="00EB3550" w:rsidRPr="00BE538F" w:rsidRDefault="00EB3550" w:rsidP="00BE538F">
      <w:pPr>
        <w:pStyle w:val="ListParagraph"/>
        <w:numPr>
          <w:ilvl w:val="1"/>
          <w:numId w:val="30"/>
        </w:numPr>
        <w:spacing w:after="200" w:line="360" w:lineRule="auto"/>
        <w:rPr>
          <w:rFonts w:ascii="Arial" w:hAnsi="Arial" w:cs="Arial"/>
          <w:sz w:val="24"/>
          <w:szCs w:val="24"/>
        </w:rPr>
      </w:pPr>
      <w:r w:rsidRPr="00BE538F">
        <w:rPr>
          <w:rFonts w:ascii="Arial" w:hAnsi="Arial" w:cs="Arial"/>
          <w:sz w:val="24"/>
          <w:szCs w:val="24"/>
        </w:rPr>
        <w:t>Consideration of effects from electromagnetic frequencies</w:t>
      </w:r>
      <w:r w:rsidR="00F7216B" w:rsidRPr="00BE538F">
        <w:rPr>
          <w:rFonts w:ascii="Arial" w:hAnsi="Arial" w:cs="Arial"/>
          <w:sz w:val="24"/>
          <w:szCs w:val="24"/>
        </w:rPr>
        <w:t>; and</w:t>
      </w:r>
    </w:p>
    <w:p w14:paraId="353452B3" w14:textId="77777777" w:rsidR="00EB3550" w:rsidRPr="00BE538F" w:rsidRDefault="00EB3550" w:rsidP="00BE538F">
      <w:pPr>
        <w:pStyle w:val="ListParagraph"/>
        <w:numPr>
          <w:ilvl w:val="1"/>
          <w:numId w:val="30"/>
        </w:numPr>
        <w:spacing w:after="200" w:line="360" w:lineRule="auto"/>
        <w:rPr>
          <w:rFonts w:ascii="Arial" w:hAnsi="Arial" w:cs="Arial"/>
          <w:sz w:val="24"/>
          <w:szCs w:val="24"/>
        </w:rPr>
      </w:pPr>
      <w:r w:rsidRPr="00BE538F">
        <w:rPr>
          <w:rFonts w:ascii="Arial" w:hAnsi="Arial" w:cs="Arial"/>
          <w:sz w:val="24"/>
          <w:szCs w:val="24"/>
        </w:rPr>
        <w:t>Assessment on the possibility of avoiding use of sulphur hexafluoride in high-voltage switchgears, and justifications if it is used.</w:t>
      </w:r>
    </w:p>
    <w:p w14:paraId="33555BF8"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Under the electricity act 1989 section 37, overhead lines are decided at the LPA level if they are either:</w:t>
      </w:r>
    </w:p>
    <w:p w14:paraId="6CB602BF" w14:textId="667E7073" w:rsidR="00EB3550" w:rsidRPr="00BE538F" w:rsidRDefault="00F7216B" w:rsidP="00BE538F">
      <w:pPr>
        <w:pStyle w:val="ListParagraph"/>
        <w:numPr>
          <w:ilvl w:val="0"/>
          <w:numId w:val="34"/>
        </w:numPr>
        <w:spacing w:after="200" w:line="360" w:lineRule="auto"/>
        <w:rPr>
          <w:rFonts w:ascii="Arial" w:hAnsi="Arial" w:cs="Arial"/>
          <w:sz w:val="24"/>
          <w:szCs w:val="24"/>
        </w:rPr>
      </w:pPr>
      <w:r w:rsidRPr="00BE538F">
        <w:rPr>
          <w:rFonts w:ascii="Arial" w:hAnsi="Arial" w:cs="Arial"/>
          <w:sz w:val="24"/>
          <w:szCs w:val="24"/>
        </w:rPr>
        <w:t xml:space="preserve">Less </w:t>
      </w:r>
      <w:r w:rsidR="00EB3550" w:rsidRPr="00BE538F">
        <w:rPr>
          <w:rFonts w:ascii="Arial" w:hAnsi="Arial" w:cs="Arial"/>
          <w:sz w:val="24"/>
          <w:szCs w:val="24"/>
        </w:rPr>
        <w:t>than 20 kilovolts (kV) and intended for a single customer</w:t>
      </w:r>
      <w:r w:rsidRPr="00BE538F">
        <w:rPr>
          <w:rFonts w:ascii="Arial" w:hAnsi="Arial" w:cs="Arial"/>
          <w:sz w:val="24"/>
          <w:szCs w:val="24"/>
        </w:rPr>
        <w:t>; or</w:t>
      </w:r>
    </w:p>
    <w:p w14:paraId="1D94486F" w14:textId="1BACE324" w:rsidR="00EB3550" w:rsidRPr="00BE538F" w:rsidRDefault="00F7216B" w:rsidP="00BE538F">
      <w:pPr>
        <w:pStyle w:val="ListParagraph"/>
        <w:numPr>
          <w:ilvl w:val="0"/>
          <w:numId w:val="34"/>
        </w:numPr>
        <w:spacing w:after="200" w:line="360" w:lineRule="auto"/>
        <w:rPr>
          <w:rFonts w:ascii="Arial" w:hAnsi="Arial" w:cs="Arial"/>
          <w:sz w:val="24"/>
          <w:szCs w:val="24"/>
        </w:rPr>
      </w:pPr>
      <w:r w:rsidRPr="00BE538F">
        <w:rPr>
          <w:rFonts w:ascii="Arial" w:hAnsi="Arial" w:cs="Arial"/>
          <w:sz w:val="24"/>
          <w:szCs w:val="24"/>
        </w:rPr>
        <w:t>L</w:t>
      </w:r>
      <w:r w:rsidR="00EB3550" w:rsidRPr="00BE538F">
        <w:rPr>
          <w:rFonts w:ascii="Arial" w:hAnsi="Arial" w:cs="Arial"/>
          <w:sz w:val="24"/>
          <w:szCs w:val="24"/>
        </w:rPr>
        <w:t>ess than 132 kV.</w:t>
      </w:r>
    </w:p>
    <w:p w14:paraId="5CAB854B"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Additionally, LPAs determine applications for cables related to Welsh generating stations of less than 350 MW.</w:t>
      </w:r>
    </w:p>
    <w:p w14:paraId="3B256636" w14:textId="379DF794"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Guidance on the consents regime for overhead lines (OHLs) states that developers must provide project details to LPAs and allow LPAs to either raise objections to the Secretary of State within two months or request to add conditions to the planning permission</w:t>
      </w:r>
      <w:r w:rsidR="00194377" w:rsidRPr="00BE538F">
        <w:rPr>
          <w:rFonts w:ascii="Arial" w:hAnsi="Arial" w:cs="Arial"/>
          <w:sz w:val="24"/>
          <w:szCs w:val="24"/>
        </w:rPr>
        <w:t xml:space="preserve"> </w:t>
      </w:r>
      <w:hyperlink r:id="rId77" w:history="1">
        <w:r w:rsidR="00194377" w:rsidRPr="00BE538F">
          <w:rPr>
            <w:rStyle w:val="Hyperlink"/>
            <w:rFonts w:ascii="Arial" w:hAnsi="Arial" w:cs="Arial"/>
            <w:sz w:val="24"/>
            <w:szCs w:val="24"/>
          </w:rPr>
          <w:t>(DECC, 2014)</w:t>
        </w:r>
      </w:hyperlink>
      <w:r w:rsidRPr="00BE538F">
        <w:rPr>
          <w:rFonts w:ascii="Arial" w:hAnsi="Arial" w:cs="Arial"/>
          <w:sz w:val="24"/>
          <w:szCs w:val="24"/>
        </w:rPr>
        <w:t xml:space="preserve">. </w:t>
      </w:r>
    </w:p>
    <w:p w14:paraId="24CF08E6" w14:textId="77777777" w:rsidR="00EB3550" w:rsidRPr="00BE538F" w:rsidRDefault="00EB3550" w:rsidP="00527B0F">
      <w:pPr>
        <w:pStyle w:val="Heading2"/>
        <w:rPr>
          <w:rFonts w:ascii="Arial" w:hAnsi="Arial" w:cs="Arial"/>
        </w:rPr>
      </w:pPr>
      <w:bookmarkStart w:id="98" w:name="_Toc188013984"/>
      <w:bookmarkStart w:id="99" w:name="_Toc198879991"/>
      <w:r w:rsidRPr="00BE538F">
        <w:rPr>
          <w:rFonts w:ascii="Arial" w:hAnsi="Arial" w:cs="Arial"/>
        </w:rPr>
        <w:t>10.2 Scotland</w:t>
      </w:r>
      <w:bookmarkEnd w:id="98"/>
      <w:bookmarkEnd w:id="99"/>
    </w:p>
    <w:p w14:paraId="35952CE2" w14:textId="67E0501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Any OHL project that has a voltage of over 20 kV, or is not entirely within the land or control of the installer, falls under Guidance on Applications for Section 37 consents without an EIA</w:t>
      </w:r>
      <w:r w:rsidR="002E4E84" w:rsidRPr="00BE538F">
        <w:rPr>
          <w:rFonts w:ascii="Arial" w:hAnsi="Arial" w:cs="Arial"/>
          <w:sz w:val="24"/>
          <w:szCs w:val="24"/>
        </w:rPr>
        <w:t xml:space="preserve"> </w:t>
      </w:r>
      <w:hyperlink r:id="rId78" w:history="1">
        <w:r w:rsidR="002E4E84" w:rsidRPr="00BE538F">
          <w:rPr>
            <w:rStyle w:val="Hyperlink"/>
            <w:rFonts w:ascii="Arial" w:hAnsi="Arial" w:cs="Arial"/>
            <w:sz w:val="24"/>
            <w:szCs w:val="24"/>
          </w:rPr>
          <w:t>(Scottish Government, 2019)</w:t>
        </w:r>
      </w:hyperlink>
      <w:r w:rsidR="002E4E84" w:rsidRPr="00BE538F">
        <w:rPr>
          <w:rFonts w:ascii="Arial" w:hAnsi="Arial" w:cs="Arial"/>
          <w:sz w:val="24"/>
          <w:szCs w:val="24"/>
        </w:rPr>
        <w:t>.</w:t>
      </w:r>
      <w:r w:rsidRPr="00BE538F">
        <w:rPr>
          <w:rFonts w:ascii="Arial" w:hAnsi="Arial" w:cs="Arial"/>
          <w:sz w:val="24"/>
          <w:szCs w:val="24"/>
        </w:rPr>
        <w:t xml:space="preserve"> In such cases, the responsibility for approval of the OHLs lies with Scottish Ministers. Section 4 highlights that developers are required to inform LPAs of developments while seeking approval for OHLs less than 132 kV. Though it provides no guidance to LPAs, it does reinforce the importance of land permissions.</w:t>
      </w:r>
    </w:p>
    <w:p w14:paraId="36E79EF6" w14:textId="0D381E98"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Substation planning permissions are granted by LPAs under the Town and Country Planning (Scotland) Act 1997</w:t>
      </w:r>
      <w:r w:rsidR="002E4E84" w:rsidRPr="00BE538F">
        <w:rPr>
          <w:rFonts w:ascii="Arial" w:hAnsi="Arial" w:cs="Arial"/>
          <w:sz w:val="24"/>
          <w:szCs w:val="24"/>
        </w:rPr>
        <w:t xml:space="preserve"> </w:t>
      </w:r>
      <w:hyperlink r:id="rId79" w:history="1">
        <w:r w:rsidR="002E4E84" w:rsidRPr="00BE538F">
          <w:rPr>
            <w:rStyle w:val="Hyperlink"/>
            <w:rFonts w:ascii="Arial" w:hAnsi="Arial" w:cs="Arial"/>
            <w:sz w:val="24"/>
            <w:szCs w:val="24"/>
          </w:rPr>
          <w:t>(Scottish &amp; Southern Electricity Network</w:t>
        </w:r>
        <w:r w:rsidR="00FF37EA" w:rsidRPr="00BE538F">
          <w:rPr>
            <w:rStyle w:val="Hyperlink"/>
            <w:rFonts w:ascii="Arial" w:hAnsi="Arial" w:cs="Arial"/>
            <w:sz w:val="24"/>
            <w:szCs w:val="24"/>
          </w:rPr>
          <w:t xml:space="preserve">s, </w:t>
        </w:r>
        <w:r w:rsidR="00EC28FB" w:rsidRPr="00BE538F">
          <w:rPr>
            <w:rStyle w:val="Hyperlink"/>
            <w:rFonts w:ascii="Arial" w:hAnsi="Arial" w:cs="Arial"/>
            <w:sz w:val="24"/>
            <w:szCs w:val="24"/>
          </w:rPr>
          <w:t>2025)</w:t>
        </w:r>
      </w:hyperlink>
      <w:r w:rsidRPr="00BE538F">
        <w:rPr>
          <w:rFonts w:ascii="Arial" w:hAnsi="Arial" w:cs="Arial"/>
          <w:sz w:val="24"/>
          <w:szCs w:val="24"/>
        </w:rPr>
        <w:t xml:space="preserve">, information on some of the required consents and their clauses are outlined by </w:t>
      </w:r>
      <w:r w:rsidRPr="00BE538F">
        <w:rPr>
          <w:rFonts w:ascii="Arial" w:hAnsi="Arial" w:cs="Arial"/>
          <w:sz w:val="24"/>
          <w:szCs w:val="24"/>
        </w:rPr>
        <w:lastRenderedPageBreak/>
        <w:t>Scottish and Southern Electricity Networks</w:t>
      </w:r>
      <w:r w:rsidR="00184CD2" w:rsidRPr="00BE538F">
        <w:rPr>
          <w:rFonts w:ascii="Arial" w:hAnsi="Arial" w:cs="Arial"/>
          <w:sz w:val="24"/>
          <w:szCs w:val="24"/>
        </w:rPr>
        <w:t xml:space="preserve"> </w:t>
      </w:r>
      <w:hyperlink r:id="rId80" w:history="1">
        <w:r w:rsidR="00184CD2" w:rsidRPr="00BE538F">
          <w:rPr>
            <w:rStyle w:val="Hyperlink"/>
            <w:rFonts w:ascii="Arial" w:hAnsi="Arial" w:cs="Arial"/>
            <w:sz w:val="24"/>
            <w:szCs w:val="24"/>
          </w:rPr>
          <w:t>(Scottish &amp; Southern Electricity Networks, 2025)</w:t>
        </w:r>
      </w:hyperlink>
      <w:r w:rsidRPr="00BE538F">
        <w:rPr>
          <w:rFonts w:ascii="Arial" w:hAnsi="Arial" w:cs="Arial"/>
          <w:sz w:val="24"/>
          <w:szCs w:val="24"/>
        </w:rPr>
        <w:t>.</w:t>
      </w:r>
      <w:r w:rsidR="00F74919" w:rsidRPr="00BE538F">
        <w:rPr>
          <w:rFonts w:ascii="Arial" w:hAnsi="Arial" w:cs="Arial"/>
          <w:sz w:val="24"/>
          <w:szCs w:val="24"/>
        </w:rPr>
        <w:t xml:space="preserve"> </w:t>
      </w:r>
      <w:r w:rsidRPr="00BE538F">
        <w:rPr>
          <w:rFonts w:ascii="Arial" w:hAnsi="Arial" w:cs="Arial"/>
          <w:sz w:val="24"/>
          <w:szCs w:val="24"/>
        </w:rPr>
        <w:t>Although guidance exists on the consenting responsibility and process, research showed no guidance for LPAs on consenting the infrastructure. NPS EN-5, however, does note that planners in Scotland might use it for guidance</w:t>
      </w:r>
      <w:r w:rsidR="00F74919" w:rsidRPr="00BE538F">
        <w:rPr>
          <w:rFonts w:ascii="Arial" w:hAnsi="Arial" w:cs="Arial"/>
          <w:sz w:val="24"/>
          <w:szCs w:val="24"/>
        </w:rPr>
        <w:t xml:space="preserve"> </w:t>
      </w:r>
      <w:hyperlink r:id="rId81" w:history="1">
        <w:r w:rsidR="00F74919" w:rsidRPr="00BE538F">
          <w:rPr>
            <w:rStyle w:val="Hyperlink"/>
            <w:rFonts w:ascii="Arial" w:hAnsi="Arial" w:cs="Arial"/>
            <w:sz w:val="24"/>
            <w:szCs w:val="24"/>
          </w:rPr>
          <w:t>(CIBSE, 2021)</w:t>
        </w:r>
      </w:hyperlink>
      <w:r w:rsidRPr="00BE538F">
        <w:rPr>
          <w:rFonts w:ascii="Arial" w:hAnsi="Arial" w:cs="Arial"/>
          <w:sz w:val="24"/>
          <w:szCs w:val="24"/>
        </w:rPr>
        <w:t>.</w:t>
      </w:r>
      <w:r w:rsidR="00F74919" w:rsidRPr="00BE538F" w:rsidDel="00F74919">
        <w:rPr>
          <w:rFonts w:ascii="Arial" w:hAnsi="Arial" w:cs="Arial"/>
          <w:sz w:val="24"/>
          <w:szCs w:val="24"/>
        </w:rPr>
        <w:t xml:space="preserve"> </w:t>
      </w:r>
    </w:p>
    <w:p w14:paraId="6ECA1A6E" w14:textId="77777777" w:rsidR="00EB3550" w:rsidRPr="00BE538F" w:rsidRDefault="00EB3550" w:rsidP="00527B0F">
      <w:pPr>
        <w:pStyle w:val="Heading2"/>
        <w:rPr>
          <w:rFonts w:ascii="Arial" w:hAnsi="Arial" w:cs="Arial"/>
        </w:rPr>
      </w:pPr>
      <w:bookmarkStart w:id="100" w:name="_Toc188013985"/>
      <w:bookmarkStart w:id="101" w:name="_Toc198879992"/>
      <w:r w:rsidRPr="00BE538F">
        <w:rPr>
          <w:rFonts w:ascii="Arial" w:hAnsi="Arial" w:cs="Arial"/>
        </w:rPr>
        <w:t>10.3 Northern Ireland</w:t>
      </w:r>
      <w:bookmarkEnd w:id="100"/>
      <w:bookmarkEnd w:id="101"/>
    </w:p>
    <w:p w14:paraId="5A64F0B6"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Our research found only limited guidance on the constraints on, or requirements for, the approval of grid infrastructure in Northern Ireland. The Planning (Development Management) Regulations (Northern Ireland) 2015 refers to the scale at which power lines become major developments, and prescribed major developments, which require pre-consultation with the DfE:</w:t>
      </w:r>
    </w:p>
    <w:p w14:paraId="6D734E9B" w14:textId="77777777" w:rsidR="00EB3550" w:rsidRPr="00BE538F" w:rsidRDefault="00EB3550" w:rsidP="00BE538F">
      <w:pPr>
        <w:pStyle w:val="ListParagraph"/>
        <w:numPr>
          <w:ilvl w:val="0"/>
          <w:numId w:val="33"/>
        </w:numPr>
        <w:spacing w:after="200" w:line="360" w:lineRule="auto"/>
        <w:rPr>
          <w:rFonts w:ascii="Arial" w:hAnsi="Arial" w:cs="Arial"/>
          <w:sz w:val="24"/>
          <w:szCs w:val="24"/>
        </w:rPr>
      </w:pPr>
      <w:r w:rsidRPr="00BE538F">
        <w:rPr>
          <w:rFonts w:ascii="Arial" w:hAnsi="Arial" w:cs="Arial"/>
          <w:sz w:val="24"/>
          <w:szCs w:val="24"/>
        </w:rPr>
        <w:t>Major development:</w:t>
      </w:r>
    </w:p>
    <w:p w14:paraId="7B9B7E00" w14:textId="2C48C915" w:rsidR="00EB3550" w:rsidRPr="00BE538F" w:rsidRDefault="00EB3550" w:rsidP="00BE538F">
      <w:pPr>
        <w:pStyle w:val="ListParagraph"/>
        <w:numPr>
          <w:ilvl w:val="1"/>
          <w:numId w:val="33"/>
        </w:numPr>
        <w:spacing w:after="200" w:line="360" w:lineRule="auto"/>
        <w:rPr>
          <w:rFonts w:ascii="Arial" w:hAnsi="Arial" w:cs="Arial"/>
          <w:sz w:val="24"/>
          <w:szCs w:val="24"/>
        </w:rPr>
      </w:pPr>
      <w:r w:rsidRPr="00BE538F">
        <w:rPr>
          <w:rFonts w:ascii="Arial" w:hAnsi="Arial" w:cs="Arial"/>
          <w:sz w:val="24"/>
          <w:szCs w:val="24"/>
        </w:rPr>
        <w:t>Power line where the voltage exceeds 33 kV, if the purpose is to supply more than one customer</w:t>
      </w:r>
      <w:r w:rsidR="007D539B" w:rsidRPr="00BE538F">
        <w:rPr>
          <w:rFonts w:ascii="Arial" w:hAnsi="Arial" w:cs="Arial"/>
          <w:sz w:val="24"/>
          <w:szCs w:val="24"/>
        </w:rPr>
        <w:t>.</w:t>
      </w:r>
    </w:p>
    <w:p w14:paraId="173DC335" w14:textId="77777777" w:rsidR="00EB3550" w:rsidRPr="00BE538F" w:rsidRDefault="00EB3550" w:rsidP="00BE538F">
      <w:pPr>
        <w:pStyle w:val="ListParagraph"/>
        <w:numPr>
          <w:ilvl w:val="0"/>
          <w:numId w:val="33"/>
        </w:numPr>
        <w:spacing w:after="200" w:line="360" w:lineRule="auto"/>
        <w:rPr>
          <w:rFonts w:ascii="Arial" w:hAnsi="Arial" w:cs="Arial"/>
          <w:sz w:val="24"/>
          <w:szCs w:val="24"/>
        </w:rPr>
      </w:pPr>
      <w:r w:rsidRPr="00BE538F">
        <w:rPr>
          <w:rFonts w:ascii="Arial" w:hAnsi="Arial" w:cs="Arial"/>
          <w:sz w:val="24"/>
          <w:szCs w:val="24"/>
        </w:rPr>
        <w:t>Prescribed major development with DfE pre-consultation:</w:t>
      </w:r>
    </w:p>
    <w:p w14:paraId="37768FD0" w14:textId="02CA2307" w:rsidR="00EB3550" w:rsidRPr="00BE538F" w:rsidRDefault="00EB3550" w:rsidP="00BE538F">
      <w:pPr>
        <w:pStyle w:val="ListParagraph"/>
        <w:numPr>
          <w:ilvl w:val="1"/>
          <w:numId w:val="33"/>
        </w:numPr>
        <w:spacing w:after="200" w:line="360" w:lineRule="auto"/>
        <w:rPr>
          <w:rFonts w:ascii="Arial" w:hAnsi="Arial" w:cs="Arial"/>
          <w:sz w:val="24"/>
          <w:szCs w:val="24"/>
        </w:rPr>
      </w:pPr>
      <w:r w:rsidRPr="00BE538F">
        <w:rPr>
          <w:rFonts w:ascii="Arial" w:hAnsi="Arial" w:cs="Arial"/>
          <w:sz w:val="24"/>
          <w:szCs w:val="24"/>
        </w:rPr>
        <w:t>Voltage is 110 kV in a double circuit OHL or exceeds 275 kV</w:t>
      </w:r>
      <w:r w:rsidR="00E71292" w:rsidRPr="00BE538F">
        <w:rPr>
          <w:rFonts w:ascii="Arial" w:hAnsi="Arial" w:cs="Arial"/>
          <w:sz w:val="24"/>
          <w:szCs w:val="24"/>
        </w:rPr>
        <w:t>; and</w:t>
      </w:r>
    </w:p>
    <w:p w14:paraId="5A77E3F2" w14:textId="3028007D" w:rsidR="00EB3550" w:rsidRPr="00BE538F" w:rsidRDefault="00E71292" w:rsidP="00BE538F">
      <w:pPr>
        <w:pStyle w:val="ListParagraph"/>
        <w:numPr>
          <w:ilvl w:val="1"/>
          <w:numId w:val="33"/>
        </w:numPr>
        <w:spacing w:after="200" w:line="360" w:lineRule="auto"/>
        <w:rPr>
          <w:rFonts w:ascii="Arial" w:hAnsi="Arial" w:cs="Arial"/>
          <w:sz w:val="24"/>
          <w:szCs w:val="24"/>
        </w:rPr>
      </w:pPr>
      <w:r w:rsidRPr="00BE538F">
        <w:rPr>
          <w:rFonts w:ascii="Arial" w:hAnsi="Arial" w:cs="Arial"/>
          <w:sz w:val="24"/>
          <w:szCs w:val="24"/>
        </w:rPr>
        <w:t>T</w:t>
      </w:r>
      <w:r w:rsidR="00EB3550" w:rsidRPr="00BE538F">
        <w:rPr>
          <w:rFonts w:ascii="Arial" w:hAnsi="Arial" w:cs="Arial"/>
          <w:sz w:val="24"/>
          <w:szCs w:val="24"/>
        </w:rPr>
        <w:t xml:space="preserve">he line length is more than 15km. </w:t>
      </w:r>
    </w:p>
    <w:p w14:paraId="44709C65" w14:textId="61720A3A" w:rsidR="00EB3550" w:rsidRPr="00BE538F" w:rsidRDefault="002D3A70" w:rsidP="00BE538F">
      <w:pPr>
        <w:pStyle w:val="Heading1"/>
        <w:spacing w:line="276" w:lineRule="auto"/>
        <w:rPr>
          <w:rFonts w:ascii="Arial" w:hAnsi="Arial" w:cs="Arial"/>
        </w:rPr>
      </w:pPr>
      <w:bookmarkStart w:id="102" w:name="_Toc188013986"/>
      <w:bookmarkStart w:id="103" w:name="_Toc198879993"/>
      <w:r w:rsidRPr="00BE538F">
        <w:rPr>
          <w:rFonts w:ascii="Arial" w:hAnsi="Arial" w:cs="Arial"/>
        </w:rPr>
        <w:t xml:space="preserve">11. </w:t>
      </w:r>
      <w:r w:rsidR="00EB3550" w:rsidRPr="00BE538F">
        <w:rPr>
          <w:rFonts w:ascii="Arial" w:hAnsi="Arial" w:cs="Arial"/>
        </w:rPr>
        <w:t>Heat networks</w:t>
      </w:r>
      <w:bookmarkEnd w:id="102"/>
      <w:bookmarkEnd w:id="103"/>
    </w:p>
    <w:p w14:paraId="2F2CB498" w14:textId="77777777" w:rsidR="00EB3550" w:rsidRPr="00BE538F" w:rsidRDefault="00EB3550" w:rsidP="00527B0F">
      <w:pPr>
        <w:pStyle w:val="Heading2"/>
        <w:rPr>
          <w:rFonts w:ascii="Arial" w:hAnsi="Arial" w:cs="Arial"/>
        </w:rPr>
      </w:pPr>
      <w:bookmarkStart w:id="104" w:name="_Toc188013987"/>
      <w:bookmarkStart w:id="105" w:name="_Toc198879994"/>
      <w:r w:rsidRPr="00BE538F">
        <w:rPr>
          <w:rFonts w:ascii="Arial" w:hAnsi="Arial" w:cs="Arial"/>
        </w:rPr>
        <w:t>11.1 UK-wide guidance</w:t>
      </w:r>
      <w:bookmarkEnd w:id="104"/>
      <w:bookmarkEnd w:id="105"/>
    </w:p>
    <w:p w14:paraId="61190641"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 xml:space="preserve">Our research did not find any guidance for LPAs for the approval of heat networks, or much advice on the technical constraints which apply to them. However, multiple organisations have put together developer-focused guidance, including: </w:t>
      </w:r>
    </w:p>
    <w:p w14:paraId="1811E00E" w14:textId="1665306A" w:rsidR="00EB3550" w:rsidRPr="00BE538F" w:rsidRDefault="00EB3550" w:rsidP="00BE538F">
      <w:pPr>
        <w:pStyle w:val="ListParagraph"/>
        <w:numPr>
          <w:ilvl w:val="0"/>
          <w:numId w:val="32"/>
        </w:numPr>
        <w:spacing w:after="200" w:line="360" w:lineRule="auto"/>
        <w:rPr>
          <w:rFonts w:ascii="Arial" w:hAnsi="Arial" w:cs="Arial"/>
          <w:sz w:val="24"/>
          <w:szCs w:val="24"/>
        </w:rPr>
      </w:pPr>
      <w:r w:rsidRPr="00BE538F">
        <w:rPr>
          <w:rFonts w:ascii="Arial" w:hAnsi="Arial" w:cs="Arial"/>
          <w:sz w:val="24"/>
          <w:szCs w:val="24"/>
        </w:rPr>
        <w:t>The heat network code of practice from CIBSE</w:t>
      </w:r>
      <w:r w:rsidR="00F74919" w:rsidRPr="00BE538F">
        <w:rPr>
          <w:rFonts w:ascii="Arial" w:hAnsi="Arial" w:cs="Arial"/>
          <w:sz w:val="24"/>
          <w:szCs w:val="24"/>
        </w:rPr>
        <w:t xml:space="preserve"> </w:t>
      </w:r>
      <w:hyperlink r:id="rId82" w:history="1">
        <w:r w:rsidR="00F74919" w:rsidRPr="00BE538F">
          <w:rPr>
            <w:rStyle w:val="Hyperlink"/>
            <w:rFonts w:ascii="Arial" w:hAnsi="Arial" w:cs="Arial"/>
            <w:sz w:val="24"/>
            <w:szCs w:val="24"/>
          </w:rPr>
          <w:t>(CIBSE, 2021)</w:t>
        </w:r>
      </w:hyperlink>
      <w:r w:rsidR="00E71292" w:rsidRPr="00BE538F">
        <w:rPr>
          <w:rFonts w:ascii="Arial" w:hAnsi="Arial" w:cs="Arial"/>
          <w:sz w:val="24"/>
          <w:szCs w:val="24"/>
        </w:rPr>
        <w:t>;</w:t>
      </w:r>
    </w:p>
    <w:p w14:paraId="00CD36E8" w14:textId="1CA46A03" w:rsidR="00EB3550" w:rsidRPr="00BE538F" w:rsidRDefault="00EB3550" w:rsidP="00BE538F">
      <w:pPr>
        <w:pStyle w:val="ListParagraph"/>
        <w:numPr>
          <w:ilvl w:val="0"/>
          <w:numId w:val="32"/>
        </w:numPr>
        <w:spacing w:after="200" w:line="360" w:lineRule="auto"/>
        <w:rPr>
          <w:rFonts w:ascii="Arial" w:hAnsi="Arial" w:cs="Arial"/>
          <w:sz w:val="24"/>
          <w:szCs w:val="24"/>
        </w:rPr>
      </w:pPr>
      <w:r w:rsidRPr="00BE538F">
        <w:rPr>
          <w:rFonts w:ascii="Arial" w:hAnsi="Arial" w:cs="Arial"/>
          <w:sz w:val="24"/>
          <w:szCs w:val="24"/>
        </w:rPr>
        <w:t>The London heat network manual (LHNM)</w:t>
      </w:r>
      <w:r w:rsidR="003B599F" w:rsidRPr="00BE538F">
        <w:rPr>
          <w:rFonts w:ascii="Arial" w:hAnsi="Arial" w:cs="Arial"/>
          <w:sz w:val="24"/>
          <w:szCs w:val="24"/>
        </w:rPr>
        <w:t xml:space="preserve"> </w:t>
      </w:r>
      <w:hyperlink r:id="rId83" w:history="1">
        <w:r w:rsidR="003B599F" w:rsidRPr="00BE538F">
          <w:rPr>
            <w:rStyle w:val="Hyperlink"/>
            <w:rFonts w:ascii="Arial" w:hAnsi="Arial" w:cs="Arial"/>
            <w:sz w:val="24"/>
            <w:szCs w:val="24"/>
          </w:rPr>
          <w:t>(Greater London Authority, 2021)</w:t>
        </w:r>
      </w:hyperlink>
      <w:r w:rsidR="00E71292" w:rsidRPr="00BE538F">
        <w:rPr>
          <w:rFonts w:ascii="Arial" w:hAnsi="Arial" w:cs="Arial"/>
          <w:sz w:val="24"/>
          <w:szCs w:val="24"/>
        </w:rPr>
        <w:t>; an</w:t>
      </w:r>
      <w:r w:rsidR="00453ACB" w:rsidRPr="00BE538F">
        <w:rPr>
          <w:rFonts w:ascii="Arial" w:hAnsi="Arial" w:cs="Arial"/>
          <w:sz w:val="24"/>
          <w:szCs w:val="24"/>
        </w:rPr>
        <w:t>d</w:t>
      </w:r>
    </w:p>
    <w:p w14:paraId="5BC01023" w14:textId="25E4CF56" w:rsidR="00EB3550" w:rsidRPr="00BE538F" w:rsidRDefault="00EB3550" w:rsidP="00BE538F">
      <w:pPr>
        <w:pStyle w:val="ListParagraph"/>
        <w:numPr>
          <w:ilvl w:val="0"/>
          <w:numId w:val="32"/>
        </w:numPr>
        <w:spacing w:after="200" w:line="360" w:lineRule="auto"/>
        <w:rPr>
          <w:rFonts w:ascii="Arial" w:hAnsi="Arial" w:cs="Arial"/>
          <w:sz w:val="24"/>
          <w:szCs w:val="24"/>
        </w:rPr>
      </w:pPr>
      <w:r w:rsidRPr="00BE538F">
        <w:rPr>
          <w:rFonts w:ascii="Arial" w:hAnsi="Arial" w:cs="Arial"/>
          <w:sz w:val="24"/>
          <w:szCs w:val="24"/>
        </w:rPr>
        <w:t>An applicant guidance document from Salix</w:t>
      </w:r>
      <w:r w:rsidR="00453ACB" w:rsidRPr="00BE538F">
        <w:rPr>
          <w:rFonts w:ascii="Arial" w:hAnsi="Arial" w:cs="Arial"/>
          <w:sz w:val="24"/>
          <w:szCs w:val="24"/>
        </w:rPr>
        <w:t xml:space="preserve"> </w:t>
      </w:r>
      <w:hyperlink r:id="rId84" w:history="1">
        <w:r w:rsidR="00453ACB" w:rsidRPr="00BE538F">
          <w:rPr>
            <w:rStyle w:val="Hyperlink"/>
            <w:rFonts w:ascii="Arial" w:hAnsi="Arial" w:cs="Arial"/>
            <w:sz w:val="24"/>
            <w:szCs w:val="24"/>
          </w:rPr>
          <w:t xml:space="preserve">(Salix, </w:t>
        </w:r>
        <w:r w:rsidR="00516305" w:rsidRPr="00BE538F">
          <w:rPr>
            <w:rStyle w:val="Hyperlink"/>
            <w:rFonts w:ascii="Arial" w:hAnsi="Arial" w:cs="Arial"/>
            <w:sz w:val="24"/>
            <w:szCs w:val="24"/>
          </w:rPr>
          <w:t>2025)</w:t>
        </w:r>
      </w:hyperlink>
      <w:r w:rsidRPr="00BE538F">
        <w:rPr>
          <w:rFonts w:ascii="Arial" w:hAnsi="Arial" w:cs="Arial"/>
          <w:sz w:val="24"/>
          <w:szCs w:val="24"/>
        </w:rPr>
        <w:t>.</w:t>
      </w:r>
    </w:p>
    <w:p w14:paraId="7237EED9"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 xml:space="preserve">Though produced by the Greater London Authority, the LHNM is intended to provide general guidance for heat networks. </w:t>
      </w:r>
    </w:p>
    <w:p w14:paraId="66D2E1DB"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lastRenderedPageBreak/>
        <w:t>In terms of issues for planners to consider, our interview with heat network expert, Paul Barker from 1energy, identified two separate aspects of heat networks which require consideration: pipework and the energy centre.</w:t>
      </w:r>
    </w:p>
    <w:p w14:paraId="432F8578" w14:textId="5584AA9B" w:rsidR="00EB3550" w:rsidRPr="00BE538F" w:rsidRDefault="00345F2B" w:rsidP="00BE538F">
      <w:pPr>
        <w:pStyle w:val="Heading3"/>
        <w:rPr>
          <w:rFonts w:ascii="Arial" w:hAnsi="Arial" w:cs="Arial"/>
          <w:sz w:val="24"/>
          <w:szCs w:val="32"/>
        </w:rPr>
      </w:pPr>
      <w:bookmarkStart w:id="106" w:name="_Toc198879995"/>
      <w:r w:rsidRPr="00BE538F">
        <w:rPr>
          <w:rFonts w:ascii="Arial" w:hAnsi="Arial" w:cs="Arial"/>
          <w:sz w:val="24"/>
          <w:szCs w:val="32"/>
        </w:rPr>
        <w:t xml:space="preserve">11.1.1 </w:t>
      </w:r>
      <w:r w:rsidR="00EB3550" w:rsidRPr="00BE538F">
        <w:rPr>
          <w:rFonts w:ascii="Arial" w:hAnsi="Arial" w:cs="Arial"/>
          <w:sz w:val="24"/>
          <w:szCs w:val="32"/>
        </w:rPr>
        <w:t>Pipework</w:t>
      </w:r>
      <w:bookmarkEnd w:id="106"/>
    </w:p>
    <w:p w14:paraId="1120308D" w14:textId="197B6EC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Heat networks are not currently considered as a statutory utility, meaning that planning permission is required for installing the pipework. However, the Energy Bill Policy Statement sets out plans to further regulate heat networks meaning that, in the future, heat network pipework will not need planning permission, though developers will continue to need to put in place appropriate easements and wayleaves</w:t>
      </w:r>
      <w:r w:rsidR="00AF3EAC" w:rsidRPr="00BE538F">
        <w:rPr>
          <w:rFonts w:ascii="Arial" w:hAnsi="Arial" w:cs="Arial"/>
          <w:sz w:val="24"/>
          <w:szCs w:val="24"/>
        </w:rPr>
        <w:t xml:space="preserve"> </w:t>
      </w:r>
      <w:hyperlink r:id="rId85" w:history="1">
        <w:r w:rsidR="00AF3EAC" w:rsidRPr="00BE538F">
          <w:rPr>
            <w:rStyle w:val="Hyperlink"/>
            <w:rFonts w:ascii="Arial" w:hAnsi="Arial" w:cs="Arial"/>
            <w:sz w:val="24"/>
            <w:szCs w:val="24"/>
          </w:rPr>
          <w:t>(DESNZ, 2023)</w:t>
        </w:r>
      </w:hyperlink>
      <w:r w:rsidRPr="00BE538F">
        <w:rPr>
          <w:rFonts w:ascii="Arial" w:hAnsi="Arial" w:cs="Arial"/>
          <w:sz w:val="24"/>
          <w:szCs w:val="24"/>
        </w:rPr>
        <w:t>.</w:t>
      </w:r>
    </w:p>
    <w:p w14:paraId="1AF3508A"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At present, planning permission is required for pipework. This can create issues if during project development the route for the pipework needs to be changed – meaning that consent needs to be sought for the change.</w:t>
      </w:r>
    </w:p>
    <w:p w14:paraId="03658445" w14:textId="086DD449"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Some local areas have set up Local Development Orders (LDOs) for heat networks, including Exeter, Leeds and Bristol, allowing developers a more straightforward route to seeking and amending permissions. LDOs are planning tools that grant permitted development rights for specific types of development within defined areas, streamlining the planning process and encouraging certain developments. For example, Bristol City Council has implemented an LDO to facilitate the installation of its heat network</w:t>
      </w:r>
      <w:r w:rsidR="004A5678" w:rsidRPr="00BE538F">
        <w:rPr>
          <w:rFonts w:ascii="Arial" w:hAnsi="Arial" w:cs="Arial"/>
          <w:sz w:val="24"/>
          <w:szCs w:val="24"/>
        </w:rPr>
        <w:t xml:space="preserve"> </w:t>
      </w:r>
      <w:hyperlink r:id="rId86" w:history="1">
        <w:r w:rsidR="004A5678" w:rsidRPr="00BE538F">
          <w:rPr>
            <w:rStyle w:val="Hyperlink"/>
            <w:rFonts w:ascii="Arial" w:hAnsi="Arial" w:cs="Arial"/>
            <w:sz w:val="24"/>
            <w:szCs w:val="24"/>
          </w:rPr>
          <w:t>(Bristol City Council,</w:t>
        </w:r>
        <w:r w:rsidR="00804AD4" w:rsidRPr="00BE538F">
          <w:rPr>
            <w:rStyle w:val="Hyperlink"/>
            <w:rFonts w:ascii="Arial" w:hAnsi="Arial" w:cs="Arial"/>
            <w:sz w:val="24"/>
            <w:szCs w:val="24"/>
          </w:rPr>
          <w:t xml:space="preserve"> 2023)</w:t>
        </w:r>
      </w:hyperlink>
      <w:r w:rsidRPr="00BE538F">
        <w:rPr>
          <w:rFonts w:ascii="Arial" w:hAnsi="Arial" w:cs="Arial"/>
          <w:sz w:val="24"/>
          <w:szCs w:val="24"/>
        </w:rPr>
        <w:t xml:space="preserve">. This LDO permits the installation, maintenance and operation of the heat network infrastructure, including underground pipes and ancillary infrastructure, within designated areas of the city. </w:t>
      </w:r>
    </w:p>
    <w:p w14:paraId="688FFF24" w14:textId="6320340B" w:rsidR="00EB3550" w:rsidRPr="00BE538F" w:rsidRDefault="00345F2B" w:rsidP="00BE538F">
      <w:pPr>
        <w:pStyle w:val="Heading3"/>
        <w:rPr>
          <w:rFonts w:ascii="Arial" w:hAnsi="Arial" w:cs="Arial"/>
          <w:sz w:val="24"/>
          <w:szCs w:val="24"/>
        </w:rPr>
      </w:pPr>
      <w:bookmarkStart w:id="107" w:name="_Toc198879996"/>
      <w:r w:rsidRPr="00BE538F">
        <w:rPr>
          <w:rFonts w:ascii="Arial" w:hAnsi="Arial" w:cs="Arial"/>
          <w:sz w:val="24"/>
          <w:szCs w:val="24"/>
        </w:rPr>
        <w:t xml:space="preserve">11.1.2 </w:t>
      </w:r>
      <w:r w:rsidR="00EB3550" w:rsidRPr="00BE538F">
        <w:rPr>
          <w:rFonts w:ascii="Arial" w:hAnsi="Arial" w:cs="Arial"/>
          <w:sz w:val="24"/>
          <w:szCs w:val="24"/>
        </w:rPr>
        <w:t>Energy centres</w:t>
      </w:r>
      <w:bookmarkEnd w:id="107"/>
    </w:p>
    <w:p w14:paraId="773BEB21"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 xml:space="preserve">Energy centres for heat networks can take several forms – e.g. air source heat pumps, ground source heat pumps, water source heat pumps, energy from waste, gas-fired combined heat and power, and bioenergy. The relevant planning considerations will depend on the technology type and size. Considerations might include noise, visual impact, air pollution, flood risks and biodiversity net gain. </w:t>
      </w:r>
    </w:p>
    <w:p w14:paraId="50B85623" w14:textId="77777777" w:rsidR="00EB3550" w:rsidRPr="00BE538F" w:rsidRDefault="00EB3550" w:rsidP="00527B0F">
      <w:pPr>
        <w:pStyle w:val="Heading2"/>
        <w:rPr>
          <w:rFonts w:ascii="Arial" w:hAnsi="Arial" w:cs="Arial"/>
        </w:rPr>
      </w:pPr>
      <w:bookmarkStart w:id="108" w:name="_Toc188013988"/>
      <w:bookmarkStart w:id="109" w:name="_Toc198879997"/>
      <w:r w:rsidRPr="00BE538F">
        <w:rPr>
          <w:rFonts w:ascii="Arial" w:hAnsi="Arial" w:cs="Arial"/>
        </w:rPr>
        <w:t>11.2 England</w:t>
      </w:r>
      <w:bookmarkEnd w:id="108"/>
      <w:bookmarkEnd w:id="109"/>
    </w:p>
    <w:p w14:paraId="4ACD4E03" w14:textId="662E6ACF"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Heat network zones are due to be introduced in England from 2025</w:t>
      </w:r>
      <w:r w:rsidR="005C2E35" w:rsidRPr="00BE538F">
        <w:rPr>
          <w:rFonts w:ascii="Arial" w:hAnsi="Arial" w:cs="Arial"/>
          <w:sz w:val="24"/>
          <w:szCs w:val="24"/>
        </w:rPr>
        <w:t xml:space="preserve"> </w:t>
      </w:r>
      <w:hyperlink r:id="rId87" w:anchor=":~:text=The%20Energy%20White%20Paper%2C%20Heat,growing%20the%20heat%20network%20market." w:history="1">
        <w:r w:rsidR="005C2E35" w:rsidRPr="00BE538F">
          <w:rPr>
            <w:rStyle w:val="Hyperlink"/>
            <w:rFonts w:ascii="Arial" w:hAnsi="Arial" w:cs="Arial"/>
            <w:sz w:val="24"/>
            <w:szCs w:val="24"/>
          </w:rPr>
          <w:t>(DESNZ and BEIS, 2025)</w:t>
        </w:r>
      </w:hyperlink>
      <w:r w:rsidRPr="00BE538F">
        <w:rPr>
          <w:rFonts w:ascii="Arial" w:hAnsi="Arial" w:cs="Arial"/>
          <w:sz w:val="24"/>
          <w:szCs w:val="24"/>
        </w:rPr>
        <w:t xml:space="preserve">. Heat network zones will be broad areas that would make suitable locations for heat network developments, identified through a national modelling </w:t>
      </w:r>
      <w:r w:rsidRPr="00BE538F">
        <w:rPr>
          <w:rFonts w:ascii="Arial" w:hAnsi="Arial" w:cs="Arial"/>
          <w:sz w:val="24"/>
          <w:szCs w:val="24"/>
        </w:rPr>
        <w:lastRenderedPageBreak/>
        <w:t>exercise. Proposals consulted on in 2023/24 include provision for local authorities to take the role of Zone Coordinator, responsible for refining, designating and implementing the zone</w:t>
      </w:r>
      <w:r w:rsidR="006A41BA" w:rsidRPr="00BE538F">
        <w:rPr>
          <w:rFonts w:ascii="Arial" w:hAnsi="Arial" w:cs="Arial"/>
          <w:sz w:val="24"/>
          <w:szCs w:val="24"/>
        </w:rPr>
        <w:t xml:space="preserve"> </w:t>
      </w:r>
      <w:hyperlink r:id="rId88" w:history="1">
        <w:r w:rsidR="006A41BA" w:rsidRPr="00BE538F">
          <w:rPr>
            <w:rStyle w:val="Hyperlink"/>
            <w:rFonts w:ascii="Arial" w:hAnsi="Arial" w:cs="Arial"/>
            <w:sz w:val="24"/>
            <w:szCs w:val="24"/>
          </w:rPr>
          <w:t>(DESNZ, 2024)</w:t>
        </w:r>
      </w:hyperlink>
      <w:r w:rsidR="006A41BA" w:rsidRPr="00BE538F">
        <w:rPr>
          <w:rFonts w:ascii="Arial" w:hAnsi="Arial" w:cs="Arial"/>
          <w:sz w:val="24"/>
          <w:szCs w:val="24"/>
        </w:rPr>
        <w:t>.</w:t>
      </w:r>
      <w:r w:rsidRPr="00BE538F">
        <w:rPr>
          <w:rFonts w:ascii="Arial" w:hAnsi="Arial" w:cs="Arial"/>
          <w:sz w:val="24"/>
          <w:szCs w:val="24"/>
        </w:rPr>
        <w:t xml:space="preserve"> In some cases the Zone Coordinator may be another body but the expectation is that in most cases it will be the local authority. </w:t>
      </w:r>
    </w:p>
    <w:p w14:paraId="4136A600"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 xml:space="preserve">Once the zone is designated, the Zone Coordinator will award the right to develop all or part of the heat network zone to a heat network developer. Certain developments within the zone will be required to connect to the heat network as it is built out or if it is already in place. Current proposals are that these would include new buildings, existing communally heated buildings and some existing non-domestic, non-communally heated buildings.  </w:t>
      </w:r>
    </w:p>
    <w:p w14:paraId="688B30D4" w14:textId="77777777" w:rsidR="00EB3550" w:rsidRPr="00BE538F" w:rsidRDefault="00EB3550" w:rsidP="00527B0F">
      <w:pPr>
        <w:pStyle w:val="Heading2"/>
        <w:rPr>
          <w:rFonts w:ascii="Arial" w:hAnsi="Arial" w:cs="Arial"/>
        </w:rPr>
      </w:pPr>
      <w:bookmarkStart w:id="110" w:name="_Toc188013989"/>
      <w:bookmarkStart w:id="111" w:name="_Toc198879998"/>
      <w:r w:rsidRPr="00BE538F">
        <w:rPr>
          <w:rFonts w:ascii="Arial" w:hAnsi="Arial" w:cs="Arial"/>
        </w:rPr>
        <w:t>11.3 Wales</w:t>
      </w:r>
      <w:bookmarkEnd w:id="110"/>
      <w:bookmarkEnd w:id="111"/>
    </w:p>
    <w:p w14:paraId="03EDA71D" w14:textId="7B903B26" w:rsidR="00E71292" w:rsidRPr="00BE538F" w:rsidRDefault="00EB3550" w:rsidP="00BE538F">
      <w:pPr>
        <w:spacing w:line="360" w:lineRule="auto"/>
        <w:rPr>
          <w:rFonts w:ascii="Arial" w:hAnsi="Arial" w:cs="Arial"/>
          <w:sz w:val="24"/>
          <w:szCs w:val="24"/>
        </w:rPr>
      </w:pPr>
      <w:r w:rsidRPr="00BE538F">
        <w:rPr>
          <w:rFonts w:ascii="Arial" w:hAnsi="Arial" w:cs="Arial"/>
          <w:sz w:val="24"/>
          <w:szCs w:val="24"/>
        </w:rPr>
        <w:t>In Wales, heat network priority areas have been mapped in Future Wales – The National Plan 2040.  The National Plan states in Policy 16:</w:t>
      </w:r>
    </w:p>
    <w:p w14:paraId="3EDD2542" w14:textId="673A24C0" w:rsidR="00EB3550" w:rsidRPr="00BE538F" w:rsidRDefault="00EB3550" w:rsidP="00BE538F">
      <w:pPr>
        <w:spacing w:line="360" w:lineRule="auto"/>
        <w:ind w:left="720"/>
        <w:rPr>
          <w:rFonts w:ascii="Arial" w:hAnsi="Arial" w:cs="Arial"/>
          <w:sz w:val="24"/>
          <w:szCs w:val="24"/>
        </w:rPr>
      </w:pPr>
      <w:r w:rsidRPr="00BE538F">
        <w:rPr>
          <w:rFonts w:ascii="Arial" w:hAnsi="Arial" w:cs="Arial"/>
          <w:sz w:val="24"/>
          <w:szCs w:val="24"/>
        </w:rPr>
        <w:t>“Within Priority Areas for District Heat Networks, planning authorities should identify opportunities for District Heat Networks and plan positively for their implementation. Large-scale mixed</w:t>
      </w:r>
      <w:r w:rsidRPr="00BE538F">
        <w:rPr>
          <w:rFonts w:ascii="Arial" w:hAnsi="Arial" w:cs="Arial"/>
          <w:sz w:val="24"/>
          <w:szCs w:val="24"/>
        </w:rPr>
        <w:noBreakHyphen/>
        <w:t>use development should, where feasible, have a heat network with a renewable/low-carbon or waste heat energy source. Planning applications for such developments should prepare an Energy Masterplan to establish whether a heat network is the most effective energy supply option and, for feasible projects, a plan for its implementation.”</w:t>
      </w:r>
    </w:p>
    <w:p w14:paraId="44EB3290" w14:textId="77777777" w:rsidR="00EB3550" w:rsidRPr="00BE538F" w:rsidRDefault="00EB3550" w:rsidP="00527B0F">
      <w:pPr>
        <w:pStyle w:val="Heading2"/>
        <w:rPr>
          <w:rFonts w:ascii="Arial" w:hAnsi="Arial" w:cs="Arial"/>
        </w:rPr>
      </w:pPr>
      <w:bookmarkStart w:id="112" w:name="_Toc188013990"/>
      <w:bookmarkStart w:id="113" w:name="_Toc198879999"/>
      <w:r w:rsidRPr="00BE538F">
        <w:rPr>
          <w:rFonts w:ascii="Arial" w:hAnsi="Arial" w:cs="Arial"/>
        </w:rPr>
        <w:t>11.4 Scotland</w:t>
      </w:r>
      <w:bookmarkEnd w:id="112"/>
      <w:bookmarkEnd w:id="113"/>
    </w:p>
    <w:p w14:paraId="0DFF9322" w14:textId="149B60D4"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Scotland has the clearest consenting regime, the Heat Networks (Scotland) Act 2021</w:t>
      </w:r>
      <w:hyperlink r:id="rId89" w:history="1">
        <w:r w:rsidR="00A21BF6" w:rsidRPr="00BE538F">
          <w:rPr>
            <w:rStyle w:val="Hyperlink"/>
            <w:rFonts w:ascii="Arial" w:hAnsi="Arial" w:cs="Arial"/>
            <w:sz w:val="24"/>
            <w:szCs w:val="24"/>
          </w:rPr>
          <w:t>(Legislation.gov.uk, 2021)</w:t>
        </w:r>
      </w:hyperlink>
      <w:r w:rsidR="00A21BF6" w:rsidRPr="00BE538F">
        <w:rPr>
          <w:rFonts w:ascii="Arial" w:hAnsi="Arial" w:cs="Arial"/>
          <w:sz w:val="24"/>
          <w:szCs w:val="24"/>
        </w:rPr>
        <w:t>.</w:t>
      </w:r>
      <w:r w:rsidRPr="00BE538F">
        <w:rPr>
          <w:rFonts w:ascii="Arial" w:hAnsi="Arial" w:cs="Arial"/>
          <w:sz w:val="24"/>
          <w:szCs w:val="24"/>
        </w:rPr>
        <w:t xml:space="preserve"> Section 20 states that local authorities will be the consenting authority for heat networks if:</w:t>
      </w:r>
    </w:p>
    <w:p w14:paraId="20BC4A82" w14:textId="6884A8A3" w:rsidR="00EB3550" w:rsidRPr="00BE538F" w:rsidRDefault="00EB3550" w:rsidP="00BE538F">
      <w:pPr>
        <w:pStyle w:val="ListParagraph"/>
        <w:numPr>
          <w:ilvl w:val="0"/>
          <w:numId w:val="35"/>
        </w:numPr>
        <w:spacing w:after="200" w:line="360" w:lineRule="auto"/>
        <w:rPr>
          <w:rFonts w:ascii="Arial" w:hAnsi="Arial" w:cs="Arial"/>
          <w:sz w:val="24"/>
          <w:szCs w:val="24"/>
        </w:rPr>
      </w:pPr>
      <w:r w:rsidRPr="00BE538F">
        <w:rPr>
          <w:rFonts w:ascii="Arial" w:hAnsi="Arial" w:cs="Arial"/>
          <w:sz w:val="24"/>
          <w:szCs w:val="24"/>
        </w:rPr>
        <w:t>Designated by Scottish Ministers after they consult with that local authority</w:t>
      </w:r>
      <w:r w:rsidR="00E71292" w:rsidRPr="00BE538F">
        <w:rPr>
          <w:rFonts w:ascii="Arial" w:hAnsi="Arial" w:cs="Arial"/>
          <w:sz w:val="24"/>
          <w:szCs w:val="24"/>
        </w:rPr>
        <w:t>; and</w:t>
      </w:r>
    </w:p>
    <w:p w14:paraId="728317D1" w14:textId="77777777" w:rsidR="00EB3550" w:rsidRPr="00BE538F" w:rsidRDefault="00EB3550" w:rsidP="00BE538F">
      <w:pPr>
        <w:pStyle w:val="ListParagraph"/>
        <w:numPr>
          <w:ilvl w:val="0"/>
          <w:numId w:val="35"/>
        </w:numPr>
        <w:spacing w:after="200" w:line="360" w:lineRule="auto"/>
        <w:rPr>
          <w:rFonts w:ascii="Arial" w:hAnsi="Arial" w:cs="Arial"/>
          <w:sz w:val="24"/>
          <w:szCs w:val="24"/>
        </w:rPr>
      </w:pPr>
      <w:r w:rsidRPr="00BE538F">
        <w:rPr>
          <w:rFonts w:ascii="Arial" w:hAnsi="Arial" w:cs="Arial"/>
          <w:sz w:val="24"/>
          <w:szCs w:val="24"/>
        </w:rPr>
        <w:t xml:space="preserve">The local authority makes a written request to Scottish Ministers that they be designated as the consent authority. </w:t>
      </w:r>
    </w:p>
    <w:p w14:paraId="2A35AEC7" w14:textId="4680D39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 xml:space="preserve">Otherwise as per section 21, the consenting authority for a project would be the Scottish Ministers. If a local authority rejects an application, an appeal can be raised to Scottish Ministers who may direct that the application be referred to them over a </w:t>
      </w:r>
      <w:r w:rsidRPr="00BE538F">
        <w:rPr>
          <w:rFonts w:ascii="Arial" w:hAnsi="Arial" w:cs="Arial"/>
          <w:sz w:val="24"/>
          <w:szCs w:val="24"/>
        </w:rPr>
        <w:lastRenderedPageBreak/>
        <w:t>local authority. A heat network zones guidance document was produced to support the act, which provides a list of statutory and recommended consultees</w:t>
      </w:r>
      <w:r w:rsidR="00B1132C" w:rsidRPr="00BE538F">
        <w:rPr>
          <w:rFonts w:ascii="Arial" w:hAnsi="Arial" w:cs="Arial"/>
          <w:sz w:val="24"/>
          <w:szCs w:val="24"/>
        </w:rPr>
        <w:t xml:space="preserve"> </w:t>
      </w:r>
      <w:hyperlink r:id="rId90" w:history="1">
        <w:r w:rsidR="00B1132C" w:rsidRPr="00BE538F">
          <w:rPr>
            <w:rStyle w:val="Hyperlink"/>
            <w:rFonts w:ascii="Arial" w:hAnsi="Arial" w:cs="Arial"/>
            <w:sz w:val="24"/>
            <w:szCs w:val="24"/>
          </w:rPr>
          <w:t>(Scottish Government, 2023)</w:t>
        </w:r>
      </w:hyperlink>
      <w:r w:rsidRPr="00BE538F">
        <w:rPr>
          <w:rFonts w:ascii="Arial" w:hAnsi="Arial" w:cs="Arial"/>
          <w:sz w:val="24"/>
          <w:szCs w:val="24"/>
        </w:rPr>
        <w:t>. Most of the guidance in this document is to aid the identification of suitable sites rather than considering the planning issues.</w:t>
      </w:r>
    </w:p>
    <w:p w14:paraId="687ED9E3" w14:textId="77777777" w:rsidR="00EB3550" w:rsidRPr="00BE538F" w:rsidRDefault="00EB3550" w:rsidP="00527B0F">
      <w:pPr>
        <w:pStyle w:val="Heading2"/>
        <w:rPr>
          <w:rFonts w:ascii="Arial" w:hAnsi="Arial" w:cs="Arial"/>
        </w:rPr>
      </w:pPr>
      <w:bookmarkStart w:id="114" w:name="_Toc188013991"/>
      <w:bookmarkStart w:id="115" w:name="_Toc198880000"/>
      <w:r w:rsidRPr="00BE538F">
        <w:rPr>
          <w:rFonts w:ascii="Arial" w:hAnsi="Arial" w:cs="Arial"/>
        </w:rPr>
        <w:t>11.5 Northern Ireland</w:t>
      </w:r>
      <w:bookmarkEnd w:id="114"/>
      <w:bookmarkEnd w:id="115"/>
    </w:p>
    <w:p w14:paraId="6579D23F" w14:textId="0A4A2078"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In Northern Ireland, no specific advice or policy exists at present, however, the DfE is proposing to establish a regulatory framework</w:t>
      </w:r>
      <w:r w:rsidR="00551CDD" w:rsidRPr="00BE538F">
        <w:rPr>
          <w:rFonts w:ascii="Arial" w:hAnsi="Arial" w:cs="Arial"/>
          <w:sz w:val="24"/>
          <w:szCs w:val="24"/>
        </w:rPr>
        <w:t xml:space="preserve"> </w:t>
      </w:r>
      <w:hyperlink r:id="rId91" w:anchor=":~:text=The%20Energy%20Strategy:%20The%20Path,lower%20carbon%20emissions%20from%20heating." w:history="1">
        <w:r w:rsidR="00551CDD" w:rsidRPr="00BE538F">
          <w:rPr>
            <w:rStyle w:val="Hyperlink"/>
            <w:rFonts w:ascii="Arial" w:hAnsi="Arial" w:cs="Arial"/>
            <w:sz w:val="24"/>
            <w:szCs w:val="24"/>
          </w:rPr>
          <w:t xml:space="preserve">(Department for the Economy, </w:t>
        </w:r>
        <w:r w:rsidR="00127F58" w:rsidRPr="00BE538F">
          <w:rPr>
            <w:rStyle w:val="Hyperlink"/>
            <w:rFonts w:ascii="Arial" w:hAnsi="Arial" w:cs="Arial"/>
            <w:sz w:val="24"/>
            <w:szCs w:val="24"/>
          </w:rPr>
          <w:t>2025)</w:t>
        </w:r>
      </w:hyperlink>
      <w:r w:rsidRPr="00BE538F">
        <w:rPr>
          <w:rFonts w:ascii="Arial" w:hAnsi="Arial" w:cs="Arial"/>
          <w:sz w:val="24"/>
          <w:szCs w:val="24"/>
        </w:rPr>
        <w:t>.</w:t>
      </w:r>
    </w:p>
    <w:p w14:paraId="0D83B399" w14:textId="3263C74E" w:rsidR="00EB3550" w:rsidRPr="00BE538F" w:rsidRDefault="002D3A70" w:rsidP="00BE538F">
      <w:pPr>
        <w:pStyle w:val="Heading1"/>
        <w:spacing w:line="276" w:lineRule="auto"/>
        <w:rPr>
          <w:rFonts w:ascii="Arial" w:hAnsi="Arial" w:cs="Arial"/>
        </w:rPr>
      </w:pPr>
      <w:bookmarkStart w:id="116" w:name="_Toc188013992"/>
      <w:bookmarkStart w:id="117" w:name="_Toc198880001"/>
      <w:r w:rsidRPr="00BE538F">
        <w:rPr>
          <w:rFonts w:ascii="Arial" w:hAnsi="Arial" w:cs="Arial"/>
        </w:rPr>
        <w:t xml:space="preserve">12. </w:t>
      </w:r>
      <w:r w:rsidR="009F503A" w:rsidRPr="00BE538F">
        <w:rPr>
          <w:rFonts w:ascii="Arial" w:hAnsi="Arial" w:cs="Arial"/>
        </w:rPr>
        <w:t>Key issues addressed</w:t>
      </w:r>
      <w:r w:rsidR="002B34CA" w:rsidRPr="00BE538F">
        <w:rPr>
          <w:rFonts w:ascii="Arial" w:hAnsi="Arial" w:cs="Arial"/>
        </w:rPr>
        <w:t xml:space="preserve"> </w:t>
      </w:r>
      <w:r w:rsidR="00EB3550" w:rsidRPr="00BE538F">
        <w:rPr>
          <w:rFonts w:ascii="Arial" w:hAnsi="Arial" w:cs="Arial"/>
        </w:rPr>
        <w:t>in policy and guidance</w:t>
      </w:r>
      <w:bookmarkEnd w:id="116"/>
      <w:bookmarkEnd w:id="117"/>
    </w:p>
    <w:p w14:paraId="703EF289" w14:textId="77777777" w:rsidR="002B34CA" w:rsidRPr="00BE538F" w:rsidRDefault="00EB3550" w:rsidP="00BE538F">
      <w:pPr>
        <w:spacing w:line="360" w:lineRule="auto"/>
        <w:rPr>
          <w:rFonts w:ascii="Arial" w:hAnsi="Arial" w:cs="Arial"/>
          <w:sz w:val="24"/>
          <w:szCs w:val="24"/>
        </w:rPr>
      </w:pPr>
      <w:r w:rsidRPr="00BE538F">
        <w:rPr>
          <w:rFonts w:ascii="Arial" w:hAnsi="Arial" w:cs="Arial"/>
          <w:sz w:val="24"/>
          <w:szCs w:val="24"/>
        </w:rPr>
        <w:t>For all countries, established technologies such as onshore wind, solar and hydropower are well covered, while newer technologies have more varied approaches. Overall, these newer technologies lack clear guidance, in particular hydrogen infrastructure, heat networks and BESS.</w:t>
      </w:r>
    </w:p>
    <w:p w14:paraId="108DBFF7" w14:textId="25BFB8C0"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 xml:space="preserve">Grid infrastructure tends to have clear planning regimes, though very little guidance to assess applications with. This issue extends to other technologies like offshore wind and tidal energy, where LPAs may be involved as statutory consultees and potentially responsible for assessing elements of the onshore infrastructure. </w:t>
      </w:r>
    </w:p>
    <w:p w14:paraId="290A0FDE"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Below, we discuss the key areas where policy and guidance may need further development in each of the four nations.</w:t>
      </w:r>
    </w:p>
    <w:p w14:paraId="020F86C7" w14:textId="77777777" w:rsidR="00EB3550" w:rsidRPr="00BE538F" w:rsidRDefault="00EB3550" w:rsidP="00527B0F">
      <w:pPr>
        <w:pStyle w:val="Heading2"/>
        <w:rPr>
          <w:rFonts w:ascii="Arial" w:hAnsi="Arial" w:cs="Arial"/>
        </w:rPr>
      </w:pPr>
      <w:bookmarkStart w:id="118" w:name="_Toc188013993"/>
      <w:bookmarkStart w:id="119" w:name="_Toc198880002"/>
      <w:r w:rsidRPr="00BE538F">
        <w:rPr>
          <w:rFonts w:ascii="Arial" w:hAnsi="Arial" w:cs="Arial"/>
        </w:rPr>
        <w:t>12.1 England and Wales</w:t>
      </w:r>
      <w:bookmarkEnd w:id="118"/>
      <w:bookmarkEnd w:id="119"/>
    </w:p>
    <w:p w14:paraId="28B22C94"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While NPS EN-1 contains overarching advice for England and Wales, it is somewhat vague about how its list of impacts should be considered. Future Wales takes the overarching guidance a step further and details some specific issues that Welsh project proposals should seek to address in their applications.</w:t>
      </w:r>
    </w:p>
    <w:p w14:paraId="5664EAA8" w14:textId="77777777" w:rsidR="00EB3550" w:rsidRPr="00BE538F" w:rsidRDefault="00EB3550" w:rsidP="00BE538F">
      <w:pPr>
        <w:spacing w:line="360" w:lineRule="auto"/>
        <w:rPr>
          <w:rFonts w:ascii="Arial" w:hAnsi="Arial" w:cs="Arial"/>
          <w:sz w:val="24"/>
          <w:szCs w:val="24"/>
        </w:rPr>
      </w:pPr>
      <w:r w:rsidRPr="00BE538F">
        <w:rPr>
          <w:rFonts w:ascii="Arial" w:hAnsi="Arial" w:cs="Arial"/>
          <w:b/>
          <w:bCs/>
          <w:sz w:val="24"/>
          <w:szCs w:val="24"/>
        </w:rPr>
        <w:t>Grid infrastructure</w:t>
      </w:r>
      <w:r w:rsidRPr="00BE538F">
        <w:rPr>
          <w:rFonts w:ascii="Arial" w:hAnsi="Arial" w:cs="Arial"/>
          <w:sz w:val="24"/>
          <w:szCs w:val="24"/>
        </w:rPr>
        <w:t xml:space="preserve"> may be the focus of NPS EN-5, which encourages reference to EN-1, but it similarly lacks the kind of detail which may be useful to planners. The closest it contains to planning guidance is a section on good design principles which, while useful, is focused on developers, not planners. Similarly, guidance to assess the onshore grid components of </w:t>
      </w:r>
      <w:r w:rsidRPr="00BE538F">
        <w:rPr>
          <w:rFonts w:ascii="Arial" w:hAnsi="Arial" w:cs="Arial"/>
          <w:b/>
          <w:bCs/>
          <w:sz w:val="24"/>
          <w:szCs w:val="24"/>
        </w:rPr>
        <w:t>offshore wind or tidal</w:t>
      </w:r>
      <w:r w:rsidRPr="00BE538F">
        <w:rPr>
          <w:rFonts w:ascii="Arial" w:hAnsi="Arial" w:cs="Arial"/>
          <w:sz w:val="24"/>
          <w:szCs w:val="24"/>
        </w:rPr>
        <w:t xml:space="preserve"> projects has not been produced, leaving these technologies in the same situation as grid infrastructure.</w:t>
      </w:r>
    </w:p>
    <w:p w14:paraId="788B050C" w14:textId="77777777" w:rsidR="00EB3550" w:rsidRPr="00BE538F" w:rsidRDefault="00EB3550" w:rsidP="00BE538F">
      <w:pPr>
        <w:spacing w:line="360" w:lineRule="auto"/>
        <w:rPr>
          <w:rFonts w:ascii="Arial" w:hAnsi="Arial" w:cs="Arial"/>
          <w:sz w:val="24"/>
          <w:szCs w:val="24"/>
        </w:rPr>
      </w:pPr>
      <w:r w:rsidRPr="00BE538F">
        <w:rPr>
          <w:rFonts w:ascii="Arial" w:hAnsi="Arial" w:cs="Arial"/>
          <w:b/>
          <w:bCs/>
          <w:sz w:val="24"/>
          <w:szCs w:val="24"/>
        </w:rPr>
        <w:lastRenderedPageBreak/>
        <w:t>Heat networks</w:t>
      </w:r>
      <w:r w:rsidRPr="00BE538F">
        <w:rPr>
          <w:rFonts w:ascii="Arial" w:hAnsi="Arial" w:cs="Arial"/>
          <w:sz w:val="24"/>
          <w:szCs w:val="24"/>
        </w:rPr>
        <w:t xml:space="preserve"> are similarly unclear, a lot of guidance has been produced for prospective developers, though no official planners’ guidance has been produced by either the UK government or Welsh Government. The upcoming developments to heat networks, such as zoning and the regulatory shift to heat networks as statutory utilities, will clarify the planning regime. As part of the changes, a consultation was produced which, among other things, was intended to determine the role of local government in delivering zoning. Despite mentions of interactions with the planning system, it is not clear if specific planning guidance is due to be produced. </w:t>
      </w:r>
    </w:p>
    <w:p w14:paraId="084D8B48"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 xml:space="preserve">Guidance for </w:t>
      </w:r>
      <w:r w:rsidRPr="00BE538F">
        <w:rPr>
          <w:rFonts w:ascii="Arial" w:hAnsi="Arial" w:cs="Arial"/>
          <w:b/>
          <w:bCs/>
          <w:sz w:val="24"/>
          <w:szCs w:val="24"/>
        </w:rPr>
        <w:t>hydrogen infrastructure</w:t>
      </w:r>
      <w:r w:rsidRPr="00BE538F">
        <w:rPr>
          <w:rFonts w:ascii="Arial" w:hAnsi="Arial" w:cs="Arial"/>
          <w:sz w:val="24"/>
          <w:szCs w:val="24"/>
        </w:rPr>
        <w:t xml:space="preserve"> has been produced for developers by independent organisations, yet no official planning guidance has been published. The Welsh Government has backed a guide produced by Marubeni </w:t>
      </w:r>
      <w:proofErr w:type="spellStart"/>
      <w:r w:rsidRPr="00BE538F">
        <w:rPr>
          <w:rFonts w:ascii="Arial" w:hAnsi="Arial" w:cs="Arial"/>
          <w:sz w:val="24"/>
          <w:szCs w:val="24"/>
        </w:rPr>
        <w:t>Europower</w:t>
      </w:r>
      <w:proofErr w:type="spellEnd"/>
      <w:r w:rsidRPr="00BE538F">
        <w:rPr>
          <w:rFonts w:ascii="Arial" w:hAnsi="Arial" w:cs="Arial"/>
          <w:sz w:val="24"/>
          <w:szCs w:val="24"/>
        </w:rPr>
        <w:t xml:space="preserve"> which currently appears to be the only report produced for local authorities.</w:t>
      </w:r>
    </w:p>
    <w:p w14:paraId="21E50E9E" w14:textId="40861DBC"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 xml:space="preserve">No officially published guidance has been produced for </w:t>
      </w:r>
      <w:r w:rsidRPr="00BE538F">
        <w:rPr>
          <w:rFonts w:ascii="Arial" w:hAnsi="Arial" w:cs="Arial"/>
          <w:b/>
          <w:bCs/>
          <w:sz w:val="24"/>
          <w:szCs w:val="24"/>
        </w:rPr>
        <w:t>BESS</w:t>
      </w:r>
      <w:r w:rsidRPr="00BE538F">
        <w:rPr>
          <w:rFonts w:ascii="Arial" w:hAnsi="Arial" w:cs="Arial"/>
          <w:sz w:val="24"/>
          <w:szCs w:val="24"/>
        </w:rPr>
        <w:t xml:space="preserve"> from either England or Wales, though the renewable and low-carbon energy page links to the non-statutory NFCC guidance.</w:t>
      </w:r>
      <w:r w:rsidRPr="00BE538F">
        <w:rPr>
          <w:rFonts w:ascii="Arial" w:hAnsi="Arial" w:cs="Arial"/>
          <w:sz w:val="24"/>
          <w:szCs w:val="24"/>
        </w:rPr>
        <w:fldChar w:fldCharType="begin"/>
      </w:r>
      <w:r w:rsidRPr="00BE538F">
        <w:rPr>
          <w:rFonts w:ascii="Arial" w:hAnsi="Arial" w:cs="Arial"/>
          <w:sz w:val="24"/>
          <w:szCs w:val="24"/>
        </w:rPr>
        <w:instrText xml:space="preserve"> NOTEREF _Ref187827441 \f \h </w:instrText>
      </w:r>
      <w:r w:rsidR="00AB5CC1" w:rsidRPr="00BE538F">
        <w:rPr>
          <w:rFonts w:ascii="Arial" w:hAnsi="Arial" w:cs="Arial"/>
          <w:sz w:val="24"/>
          <w:szCs w:val="24"/>
        </w:rPr>
        <w:instrText xml:space="preserve"> \* MERGEFORMAT </w:instrText>
      </w:r>
      <w:r w:rsidRPr="00BB2A34">
        <w:rPr>
          <w:rFonts w:ascii="Arial" w:hAnsi="Arial" w:cs="Arial"/>
          <w:sz w:val="24"/>
          <w:szCs w:val="24"/>
        </w:rPr>
      </w:r>
      <w:r w:rsidRPr="00BE538F">
        <w:rPr>
          <w:rFonts w:ascii="Arial" w:hAnsi="Arial" w:cs="Arial"/>
          <w:sz w:val="24"/>
          <w:szCs w:val="24"/>
        </w:rPr>
        <w:fldChar w:fldCharType="separate"/>
      </w:r>
      <w:r w:rsidRPr="00BE538F">
        <w:rPr>
          <w:rStyle w:val="FootnoteReference"/>
          <w:rFonts w:ascii="Arial" w:hAnsi="Arial" w:cs="Arial"/>
          <w:sz w:val="24"/>
          <w:szCs w:val="24"/>
        </w:rPr>
        <w:t>5</w:t>
      </w:r>
      <w:r w:rsidRPr="00BE538F">
        <w:rPr>
          <w:rFonts w:ascii="Arial" w:hAnsi="Arial" w:cs="Arial"/>
          <w:sz w:val="24"/>
          <w:szCs w:val="24"/>
        </w:rPr>
        <w:fldChar w:fldCharType="end"/>
      </w:r>
      <w:r w:rsidRPr="00BE538F">
        <w:rPr>
          <w:rFonts w:ascii="Arial" w:hAnsi="Arial" w:cs="Arial"/>
          <w:sz w:val="24"/>
          <w:szCs w:val="24"/>
        </w:rPr>
        <w:t xml:space="preserve"> The most detailed guidance is from the Energy Institute, although this isn’t referenced by any official material.</w:t>
      </w:r>
    </w:p>
    <w:p w14:paraId="6B6E857C" w14:textId="77777777" w:rsidR="00EB3550" w:rsidRPr="00BE538F" w:rsidRDefault="00EB3550" w:rsidP="00527B0F">
      <w:pPr>
        <w:pStyle w:val="Heading2"/>
        <w:rPr>
          <w:rFonts w:ascii="Arial" w:hAnsi="Arial" w:cs="Arial"/>
        </w:rPr>
      </w:pPr>
      <w:bookmarkStart w:id="120" w:name="_Toc188013994"/>
      <w:bookmarkStart w:id="121" w:name="_Toc198880003"/>
      <w:r w:rsidRPr="00BE538F">
        <w:rPr>
          <w:rFonts w:ascii="Arial" w:hAnsi="Arial" w:cs="Arial"/>
        </w:rPr>
        <w:t>12.2 Scotland</w:t>
      </w:r>
      <w:bookmarkEnd w:id="120"/>
      <w:bookmarkEnd w:id="121"/>
    </w:p>
    <w:p w14:paraId="0A03C7D5"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Scotland’s NPF-4 is the most detailed of all the overarching policy documents, setting out considerations, areas which require mitigation and covering issues related to land use. This is further backed by several individual technology-specific documents for well-established technologies. Given the level of detail included in the NPF-4, it could be seen to make up for a lack of published guidance on newer technologies, though notably, specific guidance is still lacking for these technologies compared to the other nations.</w:t>
      </w:r>
    </w:p>
    <w:p w14:paraId="4E15EB81"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 xml:space="preserve">The UK government’s NPS EN-5 does state that Scottish Ministers may find it useful as a reference for </w:t>
      </w:r>
      <w:r w:rsidRPr="00BE538F">
        <w:rPr>
          <w:rFonts w:ascii="Arial" w:hAnsi="Arial" w:cs="Arial"/>
          <w:b/>
          <w:bCs/>
          <w:sz w:val="24"/>
          <w:szCs w:val="24"/>
        </w:rPr>
        <w:t>grid infrastructure</w:t>
      </w:r>
      <w:r w:rsidRPr="00BE538F">
        <w:rPr>
          <w:rFonts w:ascii="Arial" w:hAnsi="Arial" w:cs="Arial"/>
          <w:sz w:val="24"/>
          <w:szCs w:val="24"/>
        </w:rPr>
        <w:t xml:space="preserve"> projects. Although it contains the clearest guidance to consenting regimes, there is no officially published guidance for Scotland for grid planning. As with England and Wales, the onshore components of </w:t>
      </w:r>
      <w:r w:rsidRPr="00BE538F">
        <w:rPr>
          <w:rFonts w:ascii="Arial" w:hAnsi="Arial" w:cs="Arial"/>
          <w:b/>
          <w:bCs/>
          <w:sz w:val="24"/>
          <w:szCs w:val="24"/>
        </w:rPr>
        <w:t>offshore projects</w:t>
      </w:r>
      <w:r w:rsidRPr="00BE538F">
        <w:rPr>
          <w:rFonts w:ascii="Arial" w:hAnsi="Arial" w:cs="Arial"/>
          <w:sz w:val="24"/>
          <w:szCs w:val="24"/>
        </w:rPr>
        <w:t xml:space="preserve"> are similarly reliant on EN-5 due to a lack of specific guidance.</w:t>
      </w:r>
    </w:p>
    <w:p w14:paraId="39F88563" w14:textId="77777777" w:rsidR="00EB3550" w:rsidRPr="00BE538F" w:rsidRDefault="00EB3550" w:rsidP="00BE538F">
      <w:pPr>
        <w:spacing w:line="360" w:lineRule="auto"/>
        <w:rPr>
          <w:rFonts w:ascii="Arial" w:hAnsi="Arial" w:cs="Arial"/>
          <w:sz w:val="24"/>
          <w:szCs w:val="24"/>
        </w:rPr>
      </w:pPr>
      <w:r w:rsidRPr="00BE538F">
        <w:rPr>
          <w:rFonts w:ascii="Arial" w:hAnsi="Arial" w:cs="Arial"/>
          <w:b/>
          <w:sz w:val="24"/>
          <w:szCs w:val="24"/>
        </w:rPr>
        <w:t>Heat networks</w:t>
      </w:r>
      <w:r w:rsidRPr="00BE538F">
        <w:rPr>
          <w:rFonts w:ascii="Arial" w:hAnsi="Arial" w:cs="Arial"/>
          <w:sz w:val="24"/>
          <w:szCs w:val="24"/>
        </w:rPr>
        <w:t xml:space="preserve"> in Scotland are well supported. However, while the heat network zone guidance provides recommendations for who developers should consult, it </w:t>
      </w:r>
      <w:r w:rsidRPr="00BE538F">
        <w:rPr>
          <w:rFonts w:ascii="Arial" w:hAnsi="Arial" w:cs="Arial"/>
          <w:sz w:val="24"/>
          <w:szCs w:val="24"/>
        </w:rPr>
        <w:lastRenderedPageBreak/>
        <w:t>contains no advice for LPAs to assess the energy centres or pipeline aspects of heat network development.</w:t>
      </w:r>
    </w:p>
    <w:p w14:paraId="0E21F26C" w14:textId="1A6332FF" w:rsidR="00EB3550" w:rsidRPr="00BE538F" w:rsidRDefault="00EB3550" w:rsidP="00BE538F">
      <w:pPr>
        <w:spacing w:line="360" w:lineRule="auto"/>
        <w:rPr>
          <w:rFonts w:ascii="Arial" w:hAnsi="Arial" w:cs="Arial"/>
          <w:sz w:val="24"/>
          <w:szCs w:val="24"/>
        </w:rPr>
      </w:pPr>
      <w:r w:rsidRPr="00BE538F">
        <w:rPr>
          <w:rFonts w:ascii="Arial" w:hAnsi="Arial" w:cs="Arial"/>
          <w:b/>
          <w:sz w:val="24"/>
          <w:szCs w:val="24"/>
        </w:rPr>
        <w:t>Hydrogen developments</w:t>
      </w:r>
      <w:r w:rsidRPr="00BE538F">
        <w:rPr>
          <w:rFonts w:ascii="Arial" w:hAnsi="Arial" w:cs="Arial"/>
          <w:sz w:val="24"/>
          <w:szCs w:val="24"/>
        </w:rPr>
        <w:t xml:space="preserve"> are also well supported in Scotland but are similarly impacted by a lack of guidance. The promised consenting guidance may solve the issue, although if any progress has been made to produce this document it has not been identified through this research.</w:t>
      </w:r>
    </w:p>
    <w:p w14:paraId="475DC957"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 xml:space="preserve">NPF-4, along with the instruction that </w:t>
      </w:r>
      <w:r w:rsidRPr="00BE538F">
        <w:rPr>
          <w:rFonts w:ascii="Arial" w:hAnsi="Arial" w:cs="Arial"/>
          <w:b/>
          <w:sz w:val="24"/>
          <w:szCs w:val="24"/>
        </w:rPr>
        <w:t>BESS</w:t>
      </w:r>
      <w:r w:rsidRPr="00BE538F">
        <w:rPr>
          <w:rFonts w:ascii="Arial" w:hAnsi="Arial" w:cs="Arial"/>
          <w:sz w:val="24"/>
          <w:szCs w:val="24"/>
        </w:rPr>
        <w:t xml:space="preserve"> be treated as generating stations, may provide LPAs with enough guidance to assess BESS, though there is still no official guidance for the technology to assess the fire concerns that are highlighted in other countries’ guidance.</w:t>
      </w:r>
    </w:p>
    <w:p w14:paraId="7401D99B" w14:textId="77777777" w:rsidR="00EB3550" w:rsidRPr="00BE538F" w:rsidRDefault="00EB3550" w:rsidP="00527B0F">
      <w:pPr>
        <w:pStyle w:val="Heading2"/>
        <w:rPr>
          <w:rFonts w:ascii="Arial" w:hAnsi="Arial" w:cs="Arial"/>
        </w:rPr>
      </w:pPr>
      <w:bookmarkStart w:id="122" w:name="_Toc188013995"/>
      <w:bookmarkStart w:id="123" w:name="_Toc198880004"/>
      <w:r w:rsidRPr="00BE538F">
        <w:rPr>
          <w:rFonts w:ascii="Arial" w:hAnsi="Arial" w:cs="Arial"/>
        </w:rPr>
        <w:t>12.3 Northern Ireland</w:t>
      </w:r>
      <w:bookmarkEnd w:id="122"/>
      <w:bookmarkEnd w:id="123"/>
    </w:p>
    <w:p w14:paraId="060608B2"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PPS18 in Northern Ireland contains more descriptive guidance for assessing project proposals than NPS EN-1, though it still requires several supporting documents for each technology as it only covers generic considerations.</w:t>
      </w:r>
    </w:p>
    <w:p w14:paraId="30885208"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 xml:space="preserve">Like other nations, the consenting regime for </w:t>
      </w:r>
      <w:r w:rsidRPr="00BE538F">
        <w:rPr>
          <w:rFonts w:ascii="Arial" w:hAnsi="Arial" w:cs="Arial"/>
          <w:b/>
          <w:bCs/>
          <w:sz w:val="24"/>
          <w:szCs w:val="24"/>
        </w:rPr>
        <w:t>grid infrastructure</w:t>
      </w:r>
      <w:r w:rsidRPr="00BE538F">
        <w:rPr>
          <w:rFonts w:ascii="Arial" w:hAnsi="Arial" w:cs="Arial"/>
          <w:sz w:val="24"/>
          <w:szCs w:val="24"/>
        </w:rPr>
        <w:t xml:space="preserve"> is very clear in Northern Ireland, though guidance on the consenting of infrastructure is lacking. Onshore grid infrastructure associated with </w:t>
      </w:r>
      <w:r w:rsidRPr="00BE538F">
        <w:rPr>
          <w:rFonts w:ascii="Arial" w:hAnsi="Arial" w:cs="Arial"/>
          <w:b/>
          <w:bCs/>
          <w:sz w:val="24"/>
          <w:szCs w:val="24"/>
        </w:rPr>
        <w:t>offshore projects</w:t>
      </w:r>
      <w:r w:rsidRPr="00BE538F">
        <w:rPr>
          <w:rFonts w:ascii="Arial" w:hAnsi="Arial" w:cs="Arial"/>
          <w:sz w:val="24"/>
          <w:szCs w:val="24"/>
        </w:rPr>
        <w:t xml:space="preserve"> is also missing guidance. While there are no active offshore projects in the country’s waters, the offshore renewable energy action plan is a statement of intent to develop offshore wind. It is unclear if the action plan will address these issues, though a planning, licensing and consenting working group has been established.</w:t>
      </w:r>
    </w:p>
    <w:p w14:paraId="78BFCDAD" w14:textId="77777777" w:rsidR="00EB3550" w:rsidRPr="00BE538F" w:rsidRDefault="00EB3550" w:rsidP="00BE538F">
      <w:pPr>
        <w:spacing w:line="360" w:lineRule="auto"/>
        <w:rPr>
          <w:rFonts w:ascii="Arial" w:hAnsi="Arial" w:cs="Arial"/>
          <w:sz w:val="24"/>
          <w:szCs w:val="24"/>
        </w:rPr>
      </w:pPr>
      <w:r w:rsidRPr="00BE538F">
        <w:rPr>
          <w:rFonts w:ascii="Arial" w:hAnsi="Arial" w:cs="Arial"/>
          <w:b/>
          <w:bCs/>
          <w:sz w:val="24"/>
          <w:szCs w:val="24"/>
        </w:rPr>
        <w:t>Heat networks</w:t>
      </w:r>
      <w:r w:rsidRPr="00BE538F">
        <w:rPr>
          <w:rFonts w:ascii="Arial" w:hAnsi="Arial" w:cs="Arial"/>
          <w:sz w:val="24"/>
          <w:szCs w:val="24"/>
        </w:rPr>
        <w:t xml:space="preserve"> in Northern Ireland have no real guidance outside of that provided by independent organisations in Great Britain. The framework which has been planned has no delivery date attached to it and no indication of whether it may address planning issues.</w:t>
      </w:r>
    </w:p>
    <w:p w14:paraId="71425EB4"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 xml:space="preserve">Although the regime around </w:t>
      </w:r>
      <w:r w:rsidRPr="00BE538F">
        <w:rPr>
          <w:rFonts w:ascii="Arial" w:hAnsi="Arial" w:cs="Arial"/>
          <w:b/>
          <w:bCs/>
          <w:sz w:val="24"/>
          <w:szCs w:val="24"/>
        </w:rPr>
        <w:t>hydrogen</w:t>
      </w:r>
      <w:r w:rsidRPr="00BE538F">
        <w:rPr>
          <w:rFonts w:ascii="Arial" w:hAnsi="Arial" w:cs="Arial"/>
          <w:sz w:val="24"/>
          <w:szCs w:val="24"/>
        </w:rPr>
        <w:t xml:space="preserve"> storage is given clarity in the 2015 planning regulations, no guidance is given for the consenting of other hydrogen infrastructure, with no specific commitments to produce guidance or strategy documents around hydrogen in the near future.</w:t>
      </w:r>
    </w:p>
    <w:p w14:paraId="1A381F25"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 xml:space="preserve">As in Scotland, </w:t>
      </w:r>
      <w:r w:rsidRPr="00BE538F">
        <w:rPr>
          <w:rFonts w:ascii="Arial" w:hAnsi="Arial" w:cs="Arial"/>
          <w:b/>
          <w:bCs/>
          <w:sz w:val="24"/>
          <w:szCs w:val="24"/>
        </w:rPr>
        <w:t>BESS</w:t>
      </w:r>
      <w:r w:rsidRPr="00BE538F">
        <w:rPr>
          <w:rFonts w:ascii="Arial" w:hAnsi="Arial" w:cs="Arial"/>
          <w:sz w:val="24"/>
          <w:szCs w:val="24"/>
        </w:rPr>
        <w:t xml:space="preserve"> are generally treated as generating stations in Northern Ireland, making the PPS18 guidance generally applicable, though there is no </w:t>
      </w:r>
      <w:r w:rsidRPr="00BE538F">
        <w:rPr>
          <w:rFonts w:ascii="Arial" w:hAnsi="Arial" w:cs="Arial"/>
          <w:sz w:val="24"/>
          <w:szCs w:val="24"/>
        </w:rPr>
        <w:lastRenderedPageBreak/>
        <w:t>published guidance from the government. BESS also received little to no mention in any official published material.</w:t>
      </w:r>
    </w:p>
    <w:p w14:paraId="760F9CBD" w14:textId="554A5E32" w:rsidR="00EB3550" w:rsidRPr="00BE538F" w:rsidRDefault="00EB3550" w:rsidP="00502ED1">
      <w:pPr>
        <w:pStyle w:val="Heading1"/>
        <w:rPr>
          <w:rFonts w:ascii="Arial" w:hAnsi="Arial" w:cs="Arial"/>
        </w:rPr>
      </w:pPr>
      <w:bookmarkStart w:id="124" w:name="_Toc188013996"/>
      <w:bookmarkStart w:id="125" w:name="_Toc198880005"/>
      <w:r w:rsidRPr="00BE538F">
        <w:rPr>
          <w:rFonts w:ascii="Arial" w:hAnsi="Arial" w:cs="Arial"/>
        </w:rPr>
        <w:t>1</w:t>
      </w:r>
      <w:r w:rsidR="00502ED1" w:rsidRPr="00BE538F">
        <w:rPr>
          <w:rFonts w:ascii="Arial" w:hAnsi="Arial" w:cs="Arial"/>
        </w:rPr>
        <w:t>3</w:t>
      </w:r>
      <w:r w:rsidRPr="00BE538F">
        <w:rPr>
          <w:rFonts w:ascii="Arial" w:hAnsi="Arial" w:cs="Arial"/>
        </w:rPr>
        <w:t>.</w:t>
      </w:r>
      <w:r w:rsidR="00502ED1" w:rsidRPr="00BE538F">
        <w:rPr>
          <w:rFonts w:ascii="Arial" w:hAnsi="Arial" w:cs="Arial"/>
        </w:rPr>
        <w:t xml:space="preserve"> </w:t>
      </w:r>
      <w:r w:rsidRPr="00BE538F">
        <w:rPr>
          <w:rFonts w:ascii="Arial" w:hAnsi="Arial" w:cs="Arial"/>
        </w:rPr>
        <w:t>Recommendations</w:t>
      </w:r>
      <w:bookmarkEnd w:id="124"/>
      <w:r w:rsidR="00262318" w:rsidRPr="00BE538F">
        <w:rPr>
          <w:rFonts w:ascii="Arial" w:hAnsi="Arial" w:cs="Arial"/>
        </w:rPr>
        <w:t xml:space="preserve"> </w:t>
      </w:r>
      <w:r w:rsidR="00E50905" w:rsidRPr="00BE538F">
        <w:rPr>
          <w:rFonts w:ascii="Arial" w:hAnsi="Arial" w:cs="Arial"/>
        </w:rPr>
        <w:t>to the</w:t>
      </w:r>
      <w:r w:rsidR="009F503A" w:rsidRPr="00BE538F">
        <w:rPr>
          <w:rFonts w:ascii="Arial" w:hAnsi="Arial" w:cs="Arial"/>
        </w:rPr>
        <w:t xml:space="preserve"> g</w:t>
      </w:r>
      <w:r w:rsidR="00E50905" w:rsidRPr="00BE538F">
        <w:rPr>
          <w:rFonts w:ascii="Arial" w:hAnsi="Arial" w:cs="Arial"/>
        </w:rPr>
        <w:t>overnment and devolved administrations</w:t>
      </w:r>
      <w:bookmarkEnd w:id="125"/>
    </w:p>
    <w:p w14:paraId="16109B20" w14:textId="77777777" w:rsidR="007C472B" w:rsidRPr="00BE538F" w:rsidRDefault="00EB3550" w:rsidP="00BE538F">
      <w:pPr>
        <w:spacing w:line="360" w:lineRule="auto"/>
        <w:rPr>
          <w:rFonts w:ascii="Arial" w:hAnsi="Arial" w:cs="Arial"/>
          <w:sz w:val="24"/>
          <w:szCs w:val="24"/>
        </w:rPr>
      </w:pPr>
      <w:r w:rsidRPr="00BE538F">
        <w:rPr>
          <w:rFonts w:ascii="Arial" w:hAnsi="Arial" w:cs="Arial"/>
          <w:sz w:val="24"/>
          <w:szCs w:val="24"/>
        </w:rPr>
        <w:t>In terms of overarching policy, Scotland provides a leading approach</w:t>
      </w:r>
      <w:r w:rsidR="00B96EC3" w:rsidRPr="00BE538F">
        <w:rPr>
          <w:rFonts w:ascii="Arial" w:hAnsi="Arial" w:cs="Arial"/>
          <w:sz w:val="24"/>
          <w:szCs w:val="24"/>
        </w:rPr>
        <w:t>,</w:t>
      </w:r>
      <w:r w:rsidRPr="00BE538F">
        <w:rPr>
          <w:rFonts w:ascii="Arial" w:hAnsi="Arial" w:cs="Arial"/>
          <w:sz w:val="24"/>
          <w:szCs w:val="24"/>
        </w:rPr>
        <w:t xml:space="preserve"> with the NPF providing a supporting framework and covering the considerations associated with energy infrastructure in detail.</w:t>
      </w:r>
    </w:p>
    <w:p w14:paraId="4FFCF7BE" w14:textId="0117B58E"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However, additional guidance may be needed for newer and emerging technologies to support local authority decision makers</w:t>
      </w:r>
      <w:r w:rsidR="0002675A" w:rsidRPr="00BE538F">
        <w:rPr>
          <w:rFonts w:ascii="Arial" w:hAnsi="Arial" w:cs="Arial"/>
          <w:sz w:val="24"/>
          <w:szCs w:val="24"/>
        </w:rPr>
        <w:t xml:space="preserve"> across the UK</w:t>
      </w:r>
      <w:r w:rsidRPr="00BE538F">
        <w:rPr>
          <w:rFonts w:ascii="Arial" w:hAnsi="Arial" w:cs="Arial"/>
          <w:sz w:val="24"/>
          <w:szCs w:val="24"/>
        </w:rPr>
        <w:t>.</w:t>
      </w:r>
      <w:r w:rsidR="006134BD" w:rsidRPr="00BE538F">
        <w:rPr>
          <w:rFonts w:ascii="Arial" w:hAnsi="Arial" w:cs="Arial"/>
          <w:sz w:val="24"/>
          <w:szCs w:val="24"/>
        </w:rPr>
        <w:t xml:space="preserve"> We describe these below.</w:t>
      </w:r>
    </w:p>
    <w:p w14:paraId="479620DE" w14:textId="7E102CF8" w:rsidR="002D3A70" w:rsidRPr="00BE538F" w:rsidRDefault="00345F2B" w:rsidP="00BE538F">
      <w:pPr>
        <w:pStyle w:val="Heading2"/>
        <w:rPr>
          <w:rFonts w:ascii="Arial" w:hAnsi="Arial" w:cs="Arial"/>
        </w:rPr>
      </w:pPr>
      <w:bookmarkStart w:id="126" w:name="_Toc198880006"/>
      <w:r w:rsidRPr="00BE538F">
        <w:rPr>
          <w:rFonts w:ascii="Arial" w:hAnsi="Arial" w:cs="Arial"/>
          <w:iCs/>
          <w:szCs w:val="28"/>
        </w:rPr>
        <w:t>1</w:t>
      </w:r>
      <w:r w:rsidR="00502ED1" w:rsidRPr="00BE538F">
        <w:rPr>
          <w:rFonts w:ascii="Arial" w:hAnsi="Arial" w:cs="Arial"/>
          <w:iCs/>
          <w:szCs w:val="28"/>
        </w:rPr>
        <w:t>3</w:t>
      </w:r>
      <w:r w:rsidRPr="00BE538F">
        <w:rPr>
          <w:rFonts w:ascii="Arial" w:hAnsi="Arial" w:cs="Arial"/>
          <w:iCs/>
          <w:szCs w:val="28"/>
        </w:rPr>
        <w:t>.</w:t>
      </w:r>
      <w:r w:rsidR="00502ED1" w:rsidRPr="00BE538F">
        <w:rPr>
          <w:rFonts w:ascii="Arial" w:hAnsi="Arial" w:cs="Arial"/>
          <w:iCs/>
          <w:szCs w:val="28"/>
        </w:rPr>
        <w:t xml:space="preserve">1 </w:t>
      </w:r>
      <w:r w:rsidR="002D3A70" w:rsidRPr="00BE538F">
        <w:rPr>
          <w:rFonts w:ascii="Arial" w:hAnsi="Arial" w:cs="Arial"/>
          <w:iCs/>
        </w:rPr>
        <w:t>Grid</w:t>
      </w:r>
      <w:r w:rsidR="002D3A70" w:rsidRPr="00BE538F">
        <w:rPr>
          <w:rFonts w:ascii="Arial" w:hAnsi="Arial" w:cs="Arial"/>
        </w:rPr>
        <w:t xml:space="preserve"> infrastructure</w:t>
      </w:r>
      <w:bookmarkEnd w:id="126"/>
    </w:p>
    <w:p w14:paraId="36B9223E" w14:textId="77777777" w:rsidR="00EB3550" w:rsidRPr="00BE538F" w:rsidRDefault="00EB3550" w:rsidP="00BE538F">
      <w:pPr>
        <w:spacing w:line="360" w:lineRule="auto"/>
        <w:rPr>
          <w:rFonts w:ascii="Arial" w:hAnsi="Arial" w:cs="Arial"/>
          <w:sz w:val="24"/>
          <w:szCs w:val="24"/>
        </w:rPr>
      </w:pPr>
      <w:r w:rsidRPr="00BE538F">
        <w:rPr>
          <w:rFonts w:ascii="Arial" w:hAnsi="Arial" w:cs="Arial"/>
          <w:sz w:val="24"/>
          <w:szCs w:val="24"/>
        </w:rPr>
        <w:t xml:space="preserve">For </w:t>
      </w:r>
      <w:r w:rsidRPr="00BE538F">
        <w:rPr>
          <w:rFonts w:ascii="Arial" w:hAnsi="Arial" w:cs="Arial"/>
          <w:b/>
          <w:bCs/>
          <w:sz w:val="24"/>
          <w:szCs w:val="24"/>
        </w:rPr>
        <w:t>grid infrastructure</w:t>
      </w:r>
      <w:r w:rsidRPr="00BE538F">
        <w:rPr>
          <w:rFonts w:ascii="Arial" w:hAnsi="Arial" w:cs="Arial"/>
          <w:sz w:val="24"/>
          <w:szCs w:val="24"/>
        </w:rPr>
        <w:t xml:space="preserve">, a consenting guide covering cables, towers and substations could simplify the planning process for network expansion at a local authority level, both for planning teams and developers. The same guide could also cover the relevant onshore elements of </w:t>
      </w:r>
      <w:r w:rsidRPr="00BE538F">
        <w:rPr>
          <w:rFonts w:ascii="Arial" w:hAnsi="Arial" w:cs="Arial"/>
          <w:b/>
          <w:bCs/>
          <w:sz w:val="24"/>
          <w:szCs w:val="24"/>
        </w:rPr>
        <w:t>offshore projects</w:t>
      </w:r>
      <w:r w:rsidRPr="00BE538F">
        <w:rPr>
          <w:rFonts w:ascii="Arial" w:hAnsi="Arial" w:cs="Arial"/>
          <w:sz w:val="24"/>
          <w:szCs w:val="24"/>
        </w:rPr>
        <w:t xml:space="preserve"> for local planning teams, covering any further considerations for where undersea cables make landfall.</w:t>
      </w:r>
    </w:p>
    <w:p w14:paraId="7CB0B44F" w14:textId="7ACEEB72" w:rsidR="002D3A70" w:rsidRPr="00BE538F" w:rsidRDefault="00345F2B" w:rsidP="00BE538F">
      <w:pPr>
        <w:pStyle w:val="Heading2"/>
        <w:rPr>
          <w:rFonts w:ascii="Arial" w:hAnsi="Arial" w:cs="Arial"/>
        </w:rPr>
      </w:pPr>
      <w:bookmarkStart w:id="127" w:name="_Toc198880007"/>
      <w:r w:rsidRPr="00BE538F">
        <w:rPr>
          <w:rFonts w:ascii="Arial" w:hAnsi="Arial" w:cs="Arial"/>
        </w:rPr>
        <w:t>1</w:t>
      </w:r>
      <w:r w:rsidR="00502ED1" w:rsidRPr="00BE538F">
        <w:rPr>
          <w:rFonts w:ascii="Arial" w:hAnsi="Arial" w:cs="Arial"/>
        </w:rPr>
        <w:t>3.2</w:t>
      </w:r>
      <w:r w:rsidR="00A001F1" w:rsidRPr="00BE538F">
        <w:rPr>
          <w:rFonts w:ascii="Arial" w:hAnsi="Arial" w:cs="Arial"/>
        </w:rPr>
        <w:t xml:space="preserve"> </w:t>
      </w:r>
      <w:r w:rsidR="002D3A70" w:rsidRPr="00BE538F">
        <w:rPr>
          <w:rFonts w:ascii="Arial" w:hAnsi="Arial" w:cs="Arial"/>
        </w:rPr>
        <w:t>Heat networks</w:t>
      </w:r>
      <w:bookmarkEnd w:id="127"/>
    </w:p>
    <w:p w14:paraId="776385C7" w14:textId="77777777" w:rsidR="00EB3550" w:rsidRPr="00BE538F" w:rsidRDefault="00EB3550" w:rsidP="00BE538F">
      <w:pPr>
        <w:spacing w:line="360" w:lineRule="auto"/>
        <w:rPr>
          <w:rFonts w:ascii="Arial" w:hAnsi="Arial" w:cs="Arial"/>
          <w:sz w:val="24"/>
          <w:szCs w:val="24"/>
        </w:rPr>
      </w:pPr>
      <w:r w:rsidRPr="00BE538F">
        <w:rPr>
          <w:rFonts w:ascii="Arial" w:hAnsi="Arial" w:cs="Arial"/>
          <w:b/>
          <w:bCs/>
          <w:sz w:val="24"/>
          <w:szCs w:val="24"/>
        </w:rPr>
        <w:t xml:space="preserve">Heat networks </w:t>
      </w:r>
      <w:r w:rsidRPr="00BE538F">
        <w:rPr>
          <w:rFonts w:ascii="Arial" w:hAnsi="Arial" w:cs="Arial"/>
          <w:sz w:val="24"/>
          <w:szCs w:val="24"/>
        </w:rPr>
        <w:t>in Great Britain are currently awaiting significant policy changes and, without knowing what those changes look like, it is difficult to know the role of local planners in determining applications. Best practice guidance for heat networks would be useful in setting planning policy, determining projects and shaping heat network development.</w:t>
      </w:r>
    </w:p>
    <w:p w14:paraId="59DBEBC5" w14:textId="0EBC8A0C" w:rsidR="002D3A70" w:rsidRPr="00BE538F" w:rsidRDefault="00A001F1" w:rsidP="00BE538F">
      <w:pPr>
        <w:pStyle w:val="Heading2"/>
        <w:rPr>
          <w:rFonts w:ascii="Arial" w:hAnsi="Arial" w:cs="Arial"/>
          <w:iCs/>
        </w:rPr>
      </w:pPr>
      <w:bookmarkStart w:id="128" w:name="_Toc198880008"/>
      <w:r w:rsidRPr="00BE538F">
        <w:rPr>
          <w:rFonts w:ascii="Arial" w:hAnsi="Arial" w:cs="Arial"/>
          <w:iCs/>
          <w:szCs w:val="28"/>
        </w:rPr>
        <w:t>1</w:t>
      </w:r>
      <w:r w:rsidR="00502ED1" w:rsidRPr="00BE538F">
        <w:rPr>
          <w:rFonts w:ascii="Arial" w:hAnsi="Arial" w:cs="Arial"/>
          <w:iCs/>
          <w:szCs w:val="28"/>
        </w:rPr>
        <w:t>3.3</w:t>
      </w:r>
      <w:r w:rsidRPr="00BE538F">
        <w:rPr>
          <w:rFonts w:ascii="Arial" w:hAnsi="Arial" w:cs="Arial"/>
          <w:iCs/>
        </w:rPr>
        <w:t xml:space="preserve"> </w:t>
      </w:r>
      <w:r w:rsidR="002D3A70" w:rsidRPr="00BE538F">
        <w:rPr>
          <w:rFonts w:ascii="Arial" w:hAnsi="Arial" w:cs="Arial"/>
          <w:iCs/>
        </w:rPr>
        <w:t>Hydrogen</w:t>
      </w:r>
      <w:bookmarkEnd w:id="128"/>
    </w:p>
    <w:p w14:paraId="40101AA7" w14:textId="77777777" w:rsidR="00EB3550" w:rsidRPr="00BE538F" w:rsidRDefault="00EB3550" w:rsidP="00BE538F">
      <w:pPr>
        <w:spacing w:line="360" w:lineRule="auto"/>
        <w:rPr>
          <w:rFonts w:ascii="Arial" w:hAnsi="Arial" w:cs="Arial"/>
          <w:sz w:val="24"/>
          <w:szCs w:val="24"/>
        </w:rPr>
      </w:pPr>
      <w:r w:rsidRPr="00BE538F">
        <w:rPr>
          <w:rFonts w:ascii="Arial" w:hAnsi="Arial" w:cs="Arial"/>
          <w:b/>
          <w:bCs/>
          <w:sz w:val="24"/>
          <w:szCs w:val="24"/>
        </w:rPr>
        <w:t xml:space="preserve">Hydrogen </w:t>
      </w:r>
      <w:r w:rsidRPr="00BE538F">
        <w:rPr>
          <w:rFonts w:ascii="Arial" w:hAnsi="Arial" w:cs="Arial"/>
          <w:sz w:val="24"/>
          <w:szCs w:val="24"/>
        </w:rPr>
        <w:t>guidance is lacking across the UK, likely as it is an emerging technology with few projects currently operational. Further development could be encouraged with clear guidance for developers and planners on the role of hydrogen and its status in the consenting regime and planning system. At the time of publication, we are aware of guidance being developed by UK government. This guidance should include consideration of whether hydrogen is being produced from green sources.</w:t>
      </w:r>
    </w:p>
    <w:p w14:paraId="7A3BE845" w14:textId="5659645A" w:rsidR="002D3A70" w:rsidRPr="00BE538F" w:rsidRDefault="00A001F1" w:rsidP="00BE538F">
      <w:pPr>
        <w:pStyle w:val="Heading2"/>
        <w:rPr>
          <w:rFonts w:ascii="Arial" w:hAnsi="Arial" w:cs="Arial"/>
        </w:rPr>
      </w:pPr>
      <w:bookmarkStart w:id="129" w:name="_Toc198880009"/>
      <w:r w:rsidRPr="00BE538F">
        <w:rPr>
          <w:rFonts w:ascii="Arial" w:hAnsi="Arial" w:cs="Arial"/>
        </w:rPr>
        <w:lastRenderedPageBreak/>
        <w:t>1</w:t>
      </w:r>
      <w:r w:rsidR="00F36517" w:rsidRPr="00BE538F">
        <w:rPr>
          <w:rFonts w:ascii="Arial" w:hAnsi="Arial" w:cs="Arial"/>
        </w:rPr>
        <w:t xml:space="preserve">3.4 </w:t>
      </w:r>
      <w:r w:rsidR="002D3A70" w:rsidRPr="00BE538F">
        <w:rPr>
          <w:rFonts w:ascii="Arial" w:hAnsi="Arial" w:cs="Arial"/>
        </w:rPr>
        <w:t>BESS</w:t>
      </w:r>
      <w:bookmarkEnd w:id="129"/>
    </w:p>
    <w:p w14:paraId="4A1150FE" w14:textId="17DC8D8E" w:rsidR="00871BF8" w:rsidRDefault="00EB3550" w:rsidP="00FF63B3">
      <w:pPr>
        <w:spacing w:line="360" w:lineRule="auto"/>
        <w:rPr>
          <w:rFonts w:ascii="Arial" w:hAnsi="Arial" w:cs="Arial"/>
          <w:sz w:val="24"/>
          <w:szCs w:val="24"/>
        </w:rPr>
      </w:pPr>
      <w:r w:rsidRPr="00BE538F">
        <w:rPr>
          <w:rFonts w:ascii="Arial" w:hAnsi="Arial" w:cs="Arial"/>
          <w:b/>
          <w:bCs/>
          <w:sz w:val="24"/>
          <w:szCs w:val="24"/>
        </w:rPr>
        <w:t>BESS</w:t>
      </w:r>
      <w:r w:rsidRPr="00BE538F">
        <w:rPr>
          <w:rFonts w:ascii="Arial" w:hAnsi="Arial" w:cs="Arial"/>
          <w:b/>
          <w:sz w:val="24"/>
          <w:szCs w:val="24"/>
        </w:rPr>
        <w:t xml:space="preserve"> </w:t>
      </w:r>
      <w:r w:rsidRPr="00BE538F">
        <w:rPr>
          <w:rFonts w:ascii="Arial" w:hAnsi="Arial" w:cs="Arial"/>
          <w:sz w:val="24"/>
          <w:szCs w:val="24"/>
        </w:rPr>
        <w:t>have many unique considerations, as evidenced by the guidance from the NFCC. Official guidance would enable clarity for planners when assessing projects, which is especially crucial in Northern Ireland where viewing batteries as generating stations is not a clear position.</w:t>
      </w:r>
    </w:p>
    <w:p w14:paraId="6321C506" w14:textId="77777777" w:rsidR="00093207" w:rsidRPr="00BE538F" w:rsidRDefault="00093207" w:rsidP="00BE538F">
      <w:pPr>
        <w:pStyle w:val="Heading1"/>
        <w:rPr>
          <w:rFonts w:ascii="Arial" w:hAnsi="Arial" w:cs="Arial"/>
          <w:b w:val="0"/>
        </w:rPr>
      </w:pPr>
      <w:bookmarkStart w:id="130" w:name="_Toc198734922"/>
      <w:bookmarkStart w:id="131" w:name="_Toc198880010"/>
      <w:r w:rsidRPr="00BE538F">
        <w:rPr>
          <w:rFonts w:ascii="Arial" w:hAnsi="Arial" w:cs="Arial"/>
        </w:rPr>
        <w:t>RTPI - Royal Town Planning Institute</w:t>
      </w:r>
      <w:bookmarkEnd w:id="130"/>
      <w:bookmarkEnd w:id="131"/>
    </w:p>
    <w:p w14:paraId="21906361" w14:textId="77777777" w:rsidR="00093207" w:rsidRPr="00093207" w:rsidRDefault="00093207" w:rsidP="00093207">
      <w:pPr>
        <w:spacing w:line="360" w:lineRule="auto"/>
        <w:rPr>
          <w:rFonts w:ascii="Arial" w:hAnsi="Arial" w:cs="Arial"/>
          <w:sz w:val="24"/>
          <w:szCs w:val="24"/>
        </w:rPr>
      </w:pPr>
      <w:r w:rsidRPr="00093207">
        <w:rPr>
          <w:rFonts w:ascii="Arial" w:hAnsi="Arial" w:cs="Arial"/>
          <w:sz w:val="24"/>
          <w:szCs w:val="24"/>
        </w:rPr>
        <w:t xml:space="preserve">research@rtpi.org.uk </w:t>
      </w:r>
    </w:p>
    <w:p w14:paraId="3B413ECE" w14:textId="77777777" w:rsidR="00093207" w:rsidRPr="00093207" w:rsidRDefault="00093207" w:rsidP="00093207">
      <w:pPr>
        <w:spacing w:line="360" w:lineRule="auto"/>
        <w:rPr>
          <w:rFonts w:ascii="Arial" w:hAnsi="Arial" w:cs="Arial"/>
          <w:sz w:val="24"/>
          <w:szCs w:val="24"/>
        </w:rPr>
      </w:pPr>
      <w:r w:rsidRPr="00093207">
        <w:rPr>
          <w:rFonts w:ascii="Arial" w:hAnsi="Arial" w:cs="Arial"/>
          <w:sz w:val="24"/>
          <w:szCs w:val="24"/>
        </w:rPr>
        <w:t>Royal Town Planning Institute.</w:t>
      </w:r>
    </w:p>
    <w:p w14:paraId="51133203" w14:textId="77777777" w:rsidR="00093207" w:rsidRPr="00093207" w:rsidRDefault="00093207" w:rsidP="00093207">
      <w:pPr>
        <w:spacing w:line="360" w:lineRule="auto"/>
        <w:rPr>
          <w:rFonts w:ascii="Arial" w:hAnsi="Arial" w:cs="Arial"/>
          <w:sz w:val="24"/>
          <w:szCs w:val="24"/>
        </w:rPr>
      </w:pPr>
      <w:r w:rsidRPr="00093207">
        <w:rPr>
          <w:rFonts w:ascii="Arial" w:hAnsi="Arial" w:cs="Arial"/>
          <w:sz w:val="24"/>
          <w:szCs w:val="24"/>
        </w:rPr>
        <w:t>41 Botolph Lane, London EC3R 8DL.</w:t>
      </w:r>
    </w:p>
    <w:p w14:paraId="68727A60" w14:textId="77777777" w:rsidR="00093207" w:rsidRPr="00093207" w:rsidRDefault="00093207" w:rsidP="00093207">
      <w:pPr>
        <w:spacing w:line="360" w:lineRule="auto"/>
        <w:rPr>
          <w:rFonts w:ascii="Arial" w:hAnsi="Arial" w:cs="Arial"/>
          <w:sz w:val="24"/>
          <w:szCs w:val="24"/>
        </w:rPr>
      </w:pPr>
      <w:r w:rsidRPr="00093207">
        <w:rPr>
          <w:rFonts w:ascii="Arial" w:hAnsi="Arial" w:cs="Arial"/>
          <w:sz w:val="24"/>
          <w:szCs w:val="24"/>
        </w:rPr>
        <w:t>Registered Charity in England (262865) &amp; Scotland (SC037841)</w:t>
      </w:r>
    </w:p>
    <w:p w14:paraId="38EE3B36" w14:textId="77777777" w:rsidR="00093207" w:rsidRPr="00BE538F" w:rsidRDefault="00093207" w:rsidP="00BE538F">
      <w:pPr>
        <w:spacing w:line="360" w:lineRule="auto"/>
        <w:rPr>
          <w:rFonts w:ascii="Arial" w:hAnsi="Arial" w:cs="Arial"/>
          <w:sz w:val="24"/>
          <w:szCs w:val="24"/>
        </w:rPr>
      </w:pPr>
    </w:p>
    <w:sectPr w:rsidR="00093207" w:rsidRPr="00BE538F">
      <w:headerReference w:type="default" r:id="rId92"/>
      <w:footerReference w:type="default" r:id="rId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0730E" w14:textId="77777777" w:rsidR="004713AF" w:rsidRDefault="004713AF" w:rsidP="00EB3550">
      <w:pPr>
        <w:spacing w:after="0" w:line="240" w:lineRule="auto"/>
      </w:pPr>
      <w:r>
        <w:separator/>
      </w:r>
    </w:p>
  </w:endnote>
  <w:endnote w:type="continuationSeparator" w:id="0">
    <w:p w14:paraId="6D33C2CE" w14:textId="77777777" w:rsidR="004713AF" w:rsidRDefault="004713AF" w:rsidP="00EB3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Light">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Light">
    <w:altName w:val="Segoe UI Light"/>
    <w:panose1 w:val="00000000000000000000"/>
    <w:charset w:val="00"/>
    <w:family w:val="roman"/>
    <w:notTrueType/>
    <w:pitch w:val="default"/>
  </w:font>
  <w:font w:name="Aptos Serif">
    <w:charset w:val="00"/>
    <w:family w:val="roman"/>
    <w:pitch w:val="variable"/>
    <w:sig w:usb0="A11526FF" w:usb1="C000ECFB" w:usb2="0001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275759"/>
      <w:docPartObj>
        <w:docPartGallery w:val="Page Numbers (Bottom of Page)"/>
        <w:docPartUnique/>
      </w:docPartObj>
    </w:sdtPr>
    <w:sdtContent>
      <w:sdt>
        <w:sdtPr>
          <w:id w:val="1728636285"/>
          <w:docPartObj>
            <w:docPartGallery w:val="Page Numbers (Top of Page)"/>
            <w:docPartUnique/>
          </w:docPartObj>
        </w:sdtPr>
        <w:sdtContent>
          <w:p w14:paraId="6B8779EF" w14:textId="10BFB9A3" w:rsidR="00542DFD" w:rsidRDefault="00542DFD" w:rsidP="00BE538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EF3C1" w14:textId="77777777" w:rsidR="004713AF" w:rsidRDefault="004713AF" w:rsidP="00EB3550">
      <w:pPr>
        <w:spacing w:after="0" w:line="240" w:lineRule="auto"/>
      </w:pPr>
      <w:r>
        <w:separator/>
      </w:r>
    </w:p>
  </w:footnote>
  <w:footnote w:type="continuationSeparator" w:id="0">
    <w:p w14:paraId="4AFE9A0B" w14:textId="77777777" w:rsidR="004713AF" w:rsidRDefault="004713AF" w:rsidP="00EB3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BB302" w14:textId="70D0F761" w:rsidR="00AE6774" w:rsidRDefault="00AE6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4438"/>
    <w:multiLevelType w:val="hybridMultilevel"/>
    <w:tmpl w:val="F8EC0472"/>
    <w:lvl w:ilvl="0" w:tplc="52E0B652">
      <w:start w:val="1"/>
      <w:numFmt w:val="bullet"/>
      <w:pStyle w:val="PR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D0DCB"/>
    <w:multiLevelType w:val="hybridMultilevel"/>
    <w:tmpl w:val="C3B0C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54B0E"/>
    <w:multiLevelType w:val="hybridMultilevel"/>
    <w:tmpl w:val="38101CF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0ECD022B"/>
    <w:multiLevelType w:val="hybridMultilevel"/>
    <w:tmpl w:val="92984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53EE2"/>
    <w:multiLevelType w:val="hybridMultilevel"/>
    <w:tmpl w:val="32A2DD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C3B3B"/>
    <w:multiLevelType w:val="hybridMultilevel"/>
    <w:tmpl w:val="1EA63E5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D5728F"/>
    <w:multiLevelType w:val="hybridMultilevel"/>
    <w:tmpl w:val="45727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35BB1"/>
    <w:multiLevelType w:val="hybridMultilevel"/>
    <w:tmpl w:val="CB864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A742B"/>
    <w:multiLevelType w:val="hybridMultilevel"/>
    <w:tmpl w:val="05142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587316"/>
    <w:multiLevelType w:val="hybridMultilevel"/>
    <w:tmpl w:val="BC826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9C765F"/>
    <w:multiLevelType w:val="hybridMultilevel"/>
    <w:tmpl w:val="C62E8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B23741"/>
    <w:multiLevelType w:val="hybridMultilevel"/>
    <w:tmpl w:val="F7AE8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DA24D8"/>
    <w:multiLevelType w:val="hybridMultilevel"/>
    <w:tmpl w:val="50C61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581A2B"/>
    <w:multiLevelType w:val="hybridMultilevel"/>
    <w:tmpl w:val="4D82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2966D7"/>
    <w:multiLevelType w:val="hybridMultilevel"/>
    <w:tmpl w:val="0E565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A44E12"/>
    <w:multiLevelType w:val="hybridMultilevel"/>
    <w:tmpl w:val="871CA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FC6C6E"/>
    <w:multiLevelType w:val="hybridMultilevel"/>
    <w:tmpl w:val="E8D4A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A1439B"/>
    <w:multiLevelType w:val="hybridMultilevel"/>
    <w:tmpl w:val="A6C67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924CC4"/>
    <w:multiLevelType w:val="hybridMultilevel"/>
    <w:tmpl w:val="66762B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836D74"/>
    <w:multiLevelType w:val="hybridMultilevel"/>
    <w:tmpl w:val="93C69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344D91"/>
    <w:multiLevelType w:val="hybridMultilevel"/>
    <w:tmpl w:val="F27E5C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60562D"/>
    <w:multiLevelType w:val="hybridMultilevel"/>
    <w:tmpl w:val="AB2E94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154312"/>
    <w:multiLevelType w:val="hybridMultilevel"/>
    <w:tmpl w:val="B5261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3B236F"/>
    <w:multiLevelType w:val="hybridMultilevel"/>
    <w:tmpl w:val="1A9C5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3157A8"/>
    <w:multiLevelType w:val="hybridMultilevel"/>
    <w:tmpl w:val="1848F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7F6C0D"/>
    <w:multiLevelType w:val="hybridMultilevel"/>
    <w:tmpl w:val="F56E2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83767"/>
    <w:multiLevelType w:val="hybridMultilevel"/>
    <w:tmpl w:val="72CC66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B9591A"/>
    <w:multiLevelType w:val="hybridMultilevel"/>
    <w:tmpl w:val="E0B06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B4464D"/>
    <w:multiLevelType w:val="hybridMultilevel"/>
    <w:tmpl w:val="59A0B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304C6D"/>
    <w:multiLevelType w:val="hybridMultilevel"/>
    <w:tmpl w:val="89EC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281847"/>
    <w:multiLevelType w:val="hybridMultilevel"/>
    <w:tmpl w:val="FDB46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304BE7"/>
    <w:multiLevelType w:val="hybridMultilevel"/>
    <w:tmpl w:val="51269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087261"/>
    <w:multiLevelType w:val="hybridMultilevel"/>
    <w:tmpl w:val="A2E845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333E53"/>
    <w:multiLevelType w:val="hybridMultilevel"/>
    <w:tmpl w:val="7DACA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E56770"/>
    <w:multiLevelType w:val="hybridMultilevel"/>
    <w:tmpl w:val="24260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A8032A"/>
    <w:multiLevelType w:val="hybridMultilevel"/>
    <w:tmpl w:val="48684C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5024C0"/>
    <w:multiLevelType w:val="hybridMultilevel"/>
    <w:tmpl w:val="14344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A5341C"/>
    <w:multiLevelType w:val="hybridMultilevel"/>
    <w:tmpl w:val="CDFE1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1C7F53"/>
    <w:multiLevelType w:val="hybridMultilevel"/>
    <w:tmpl w:val="2D269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2D0527"/>
    <w:multiLevelType w:val="hybridMultilevel"/>
    <w:tmpl w:val="C56A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856860"/>
    <w:multiLevelType w:val="hybridMultilevel"/>
    <w:tmpl w:val="0A0CC1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3590621">
    <w:abstractNumId w:val="0"/>
  </w:num>
  <w:num w:numId="2" w16cid:durableId="1428042900">
    <w:abstractNumId w:val="27"/>
  </w:num>
  <w:num w:numId="3" w16cid:durableId="1943954653">
    <w:abstractNumId w:val="26"/>
  </w:num>
  <w:num w:numId="4" w16cid:durableId="880821577">
    <w:abstractNumId w:val="25"/>
  </w:num>
  <w:num w:numId="5" w16cid:durableId="1902715519">
    <w:abstractNumId w:val="13"/>
  </w:num>
  <w:num w:numId="6" w16cid:durableId="212350799">
    <w:abstractNumId w:val="1"/>
  </w:num>
  <w:num w:numId="7" w16cid:durableId="1886212445">
    <w:abstractNumId w:val="6"/>
  </w:num>
  <w:num w:numId="8" w16cid:durableId="510683330">
    <w:abstractNumId w:val="8"/>
  </w:num>
  <w:num w:numId="9" w16cid:durableId="296569963">
    <w:abstractNumId w:val="38"/>
  </w:num>
  <w:num w:numId="10" w16cid:durableId="1357539502">
    <w:abstractNumId w:val="9"/>
  </w:num>
  <w:num w:numId="11" w16cid:durableId="275991841">
    <w:abstractNumId w:val="21"/>
  </w:num>
  <w:num w:numId="12" w16cid:durableId="1607151433">
    <w:abstractNumId w:val="29"/>
  </w:num>
  <w:num w:numId="13" w16cid:durableId="951864597">
    <w:abstractNumId w:val="33"/>
  </w:num>
  <w:num w:numId="14" w16cid:durableId="87822307">
    <w:abstractNumId w:val="16"/>
  </w:num>
  <w:num w:numId="15" w16cid:durableId="814103293">
    <w:abstractNumId w:val="19"/>
  </w:num>
  <w:num w:numId="16" w16cid:durableId="1936280659">
    <w:abstractNumId w:val="30"/>
  </w:num>
  <w:num w:numId="17" w16cid:durableId="1269700967">
    <w:abstractNumId w:val="22"/>
  </w:num>
  <w:num w:numId="18" w16cid:durableId="778527292">
    <w:abstractNumId w:val="32"/>
  </w:num>
  <w:num w:numId="19" w16cid:durableId="1705908970">
    <w:abstractNumId w:val="18"/>
  </w:num>
  <w:num w:numId="20" w16cid:durableId="1844785362">
    <w:abstractNumId w:val="14"/>
  </w:num>
  <w:num w:numId="21" w16cid:durableId="1219633004">
    <w:abstractNumId w:val="11"/>
  </w:num>
  <w:num w:numId="22" w16cid:durableId="554392221">
    <w:abstractNumId w:val="3"/>
  </w:num>
  <w:num w:numId="23" w16cid:durableId="385374249">
    <w:abstractNumId w:val="36"/>
  </w:num>
  <w:num w:numId="24" w16cid:durableId="1076243604">
    <w:abstractNumId w:val="34"/>
  </w:num>
  <w:num w:numId="25" w16cid:durableId="1189367029">
    <w:abstractNumId w:val="10"/>
  </w:num>
  <w:num w:numId="26" w16cid:durableId="385226258">
    <w:abstractNumId w:val="40"/>
  </w:num>
  <w:num w:numId="27" w16cid:durableId="2132818762">
    <w:abstractNumId w:val="28"/>
  </w:num>
  <w:num w:numId="28" w16cid:durableId="1036781676">
    <w:abstractNumId w:val="31"/>
  </w:num>
  <w:num w:numId="29" w16cid:durableId="1137264731">
    <w:abstractNumId w:val="4"/>
  </w:num>
  <w:num w:numId="30" w16cid:durableId="2088917682">
    <w:abstractNumId w:val="17"/>
  </w:num>
  <w:num w:numId="31" w16cid:durableId="876817141">
    <w:abstractNumId w:val="23"/>
  </w:num>
  <w:num w:numId="32" w16cid:durableId="2028865824">
    <w:abstractNumId w:val="24"/>
  </w:num>
  <w:num w:numId="33" w16cid:durableId="1519926036">
    <w:abstractNumId w:val="20"/>
  </w:num>
  <w:num w:numId="34" w16cid:durableId="1153790736">
    <w:abstractNumId w:val="2"/>
  </w:num>
  <w:num w:numId="35" w16cid:durableId="2080521547">
    <w:abstractNumId w:val="15"/>
  </w:num>
  <w:num w:numId="36" w16cid:durableId="189758742">
    <w:abstractNumId w:val="7"/>
  </w:num>
  <w:num w:numId="37" w16cid:durableId="814758284">
    <w:abstractNumId w:val="39"/>
  </w:num>
  <w:num w:numId="38" w16cid:durableId="1886022035">
    <w:abstractNumId w:val="37"/>
  </w:num>
  <w:num w:numId="39" w16cid:durableId="1516572051">
    <w:abstractNumId w:val="35"/>
  </w:num>
  <w:num w:numId="40" w16cid:durableId="2123575335">
    <w:abstractNumId w:val="5"/>
  </w:num>
  <w:num w:numId="41" w16cid:durableId="1654945693">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550"/>
    <w:rsid w:val="000135AC"/>
    <w:rsid w:val="0002675A"/>
    <w:rsid w:val="00027728"/>
    <w:rsid w:val="00036187"/>
    <w:rsid w:val="00047978"/>
    <w:rsid w:val="00060E8B"/>
    <w:rsid w:val="00066180"/>
    <w:rsid w:val="00071D29"/>
    <w:rsid w:val="000731BF"/>
    <w:rsid w:val="00075AC2"/>
    <w:rsid w:val="00081367"/>
    <w:rsid w:val="00086E27"/>
    <w:rsid w:val="00093207"/>
    <w:rsid w:val="000979B6"/>
    <w:rsid w:val="000A3407"/>
    <w:rsid w:val="000A3CCC"/>
    <w:rsid w:val="000A4B70"/>
    <w:rsid w:val="000B1744"/>
    <w:rsid w:val="000B178D"/>
    <w:rsid w:val="000D0D13"/>
    <w:rsid w:val="000E335A"/>
    <w:rsid w:val="000F5462"/>
    <w:rsid w:val="000F79E7"/>
    <w:rsid w:val="00105071"/>
    <w:rsid w:val="0011534D"/>
    <w:rsid w:val="00115B39"/>
    <w:rsid w:val="001201C5"/>
    <w:rsid w:val="00122C5C"/>
    <w:rsid w:val="00123859"/>
    <w:rsid w:val="00127453"/>
    <w:rsid w:val="00127F58"/>
    <w:rsid w:val="00140BAE"/>
    <w:rsid w:val="001430FA"/>
    <w:rsid w:val="00151EDB"/>
    <w:rsid w:val="001573ED"/>
    <w:rsid w:val="00162DB4"/>
    <w:rsid w:val="00165E79"/>
    <w:rsid w:val="00175C05"/>
    <w:rsid w:val="00184CD2"/>
    <w:rsid w:val="00194377"/>
    <w:rsid w:val="001B165E"/>
    <w:rsid w:val="001B40F0"/>
    <w:rsid w:val="001B63C0"/>
    <w:rsid w:val="001C712F"/>
    <w:rsid w:val="001D259C"/>
    <w:rsid w:val="001E21D8"/>
    <w:rsid w:val="001E2BCB"/>
    <w:rsid w:val="00205172"/>
    <w:rsid w:val="00210A9E"/>
    <w:rsid w:val="00214DBE"/>
    <w:rsid w:val="00237D6B"/>
    <w:rsid w:val="002430DF"/>
    <w:rsid w:val="0024575A"/>
    <w:rsid w:val="00245E6F"/>
    <w:rsid w:val="0025551F"/>
    <w:rsid w:val="00257213"/>
    <w:rsid w:val="00262318"/>
    <w:rsid w:val="002639BB"/>
    <w:rsid w:val="00266206"/>
    <w:rsid w:val="00267860"/>
    <w:rsid w:val="0028667D"/>
    <w:rsid w:val="00286791"/>
    <w:rsid w:val="002A030C"/>
    <w:rsid w:val="002A4AC4"/>
    <w:rsid w:val="002A534B"/>
    <w:rsid w:val="002A6DAF"/>
    <w:rsid w:val="002B09B7"/>
    <w:rsid w:val="002B23F4"/>
    <w:rsid w:val="002B34CA"/>
    <w:rsid w:val="002C277D"/>
    <w:rsid w:val="002C2E10"/>
    <w:rsid w:val="002D03F9"/>
    <w:rsid w:val="002D1F3E"/>
    <w:rsid w:val="002D3A70"/>
    <w:rsid w:val="002E4E84"/>
    <w:rsid w:val="002E77DE"/>
    <w:rsid w:val="002F140A"/>
    <w:rsid w:val="002F716B"/>
    <w:rsid w:val="00306FED"/>
    <w:rsid w:val="00313C0E"/>
    <w:rsid w:val="0032121C"/>
    <w:rsid w:val="0032586D"/>
    <w:rsid w:val="00332FE3"/>
    <w:rsid w:val="003377C5"/>
    <w:rsid w:val="00344096"/>
    <w:rsid w:val="00345F2B"/>
    <w:rsid w:val="003717F5"/>
    <w:rsid w:val="003853BF"/>
    <w:rsid w:val="00397B5B"/>
    <w:rsid w:val="003A69C3"/>
    <w:rsid w:val="003A7E68"/>
    <w:rsid w:val="003B13A4"/>
    <w:rsid w:val="003B32AB"/>
    <w:rsid w:val="003B393B"/>
    <w:rsid w:val="003B46E0"/>
    <w:rsid w:val="003B53C5"/>
    <w:rsid w:val="003B599F"/>
    <w:rsid w:val="003C2D4A"/>
    <w:rsid w:val="003D3533"/>
    <w:rsid w:val="003D3865"/>
    <w:rsid w:val="003D7D52"/>
    <w:rsid w:val="003E667D"/>
    <w:rsid w:val="00400926"/>
    <w:rsid w:val="0040633E"/>
    <w:rsid w:val="00415DC1"/>
    <w:rsid w:val="004230BB"/>
    <w:rsid w:val="00424E8B"/>
    <w:rsid w:val="00442B24"/>
    <w:rsid w:val="00453ACB"/>
    <w:rsid w:val="00462E1A"/>
    <w:rsid w:val="00466A1E"/>
    <w:rsid w:val="004713AF"/>
    <w:rsid w:val="0047638B"/>
    <w:rsid w:val="00495F69"/>
    <w:rsid w:val="004A5678"/>
    <w:rsid w:val="004A664A"/>
    <w:rsid w:val="004B207F"/>
    <w:rsid w:val="004B5C66"/>
    <w:rsid w:val="004C4BD0"/>
    <w:rsid w:val="004D3C99"/>
    <w:rsid w:val="004D6B5A"/>
    <w:rsid w:val="004E5201"/>
    <w:rsid w:val="004E7827"/>
    <w:rsid w:val="00502ED1"/>
    <w:rsid w:val="00503422"/>
    <w:rsid w:val="00504721"/>
    <w:rsid w:val="00505DFC"/>
    <w:rsid w:val="005105A0"/>
    <w:rsid w:val="005112F1"/>
    <w:rsid w:val="0051427F"/>
    <w:rsid w:val="0051442C"/>
    <w:rsid w:val="005161C8"/>
    <w:rsid w:val="00516305"/>
    <w:rsid w:val="00521010"/>
    <w:rsid w:val="00521978"/>
    <w:rsid w:val="00522D4A"/>
    <w:rsid w:val="00526DF9"/>
    <w:rsid w:val="00527B0F"/>
    <w:rsid w:val="005313AB"/>
    <w:rsid w:val="00542DFD"/>
    <w:rsid w:val="00551CDD"/>
    <w:rsid w:val="005529EA"/>
    <w:rsid w:val="00556D21"/>
    <w:rsid w:val="00560357"/>
    <w:rsid w:val="00585090"/>
    <w:rsid w:val="0059279B"/>
    <w:rsid w:val="005A335D"/>
    <w:rsid w:val="005C0BE8"/>
    <w:rsid w:val="005C0EA2"/>
    <w:rsid w:val="005C2E35"/>
    <w:rsid w:val="005C3AB4"/>
    <w:rsid w:val="005E0F1B"/>
    <w:rsid w:val="005E1741"/>
    <w:rsid w:val="005E2B4E"/>
    <w:rsid w:val="005E33E5"/>
    <w:rsid w:val="005F4C0D"/>
    <w:rsid w:val="006002BA"/>
    <w:rsid w:val="00603726"/>
    <w:rsid w:val="006079C5"/>
    <w:rsid w:val="006121B7"/>
    <w:rsid w:val="006134BD"/>
    <w:rsid w:val="00614E0C"/>
    <w:rsid w:val="006225BF"/>
    <w:rsid w:val="006315BC"/>
    <w:rsid w:val="006318E9"/>
    <w:rsid w:val="006519C3"/>
    <w:rsid w:val="006749ED"/>
    <w:rsid w:val="00686B40"/>
    <w:rsid w:val="006A41BA"/>
    <w:rsid w:val="006A54BD"/>
    <w:rsid w:val="006B0CED"/>
    <w:rsid w:val="006B6DAE"/>
    <w:rsid w:val="006D6863"/>
    <w:rsid w:val="006D7614"/>
    <w:rsid w:val="006E17B8"/>
    <w:rsid w:val="006F0E95"/>
    <w:rsid w:val="006F3813"/>
    <w:rsid w:val="006F3F17"/>
    <w:rsid w:val="006F6151"/>
    <w:rsid w:val="007114A8"/>
    <w:rsid w:val="007147F5"/>
    <w:rsid w:val="007148E6"/>
    <w:rsid w:val="00715534"/>
    <w:rsid w:val="00717748"/>
    <w:rsid w:val="00722B44"/>
    <w:rsid w:val="00732340"/>
    <w:rsid w:val="007324BB"/>
    <w:rsid w:val="00733F12"/>
    <w:rsid w:val="00743380"/>
    <w:rsid w:val="00752A36"/>
    <w:rsid w:val="00761C3B"/>
    <w:rsid w:val="007761E6"/>
    <w:rsid w:val="00783A10"/>
    <w:rsid w:val="007847CB"/>
    <w:rsid w:val="00787C1E"/>
    <w:rsid w:val="007A0866"/>
    <w:rsid w:val="007A1324"/>
    <w:rsid w:val="007A1D55"/>
    <w:rsid w:val="007A4DE9"/>
    <w:rsid w:val="007A72EB"/>
    <w:rsid w:val="007B66C8"/>
    <w:rsid w:val="007C0F70"/>
    <w:rsid w:val="007C472B"/>
    <w:rsid w:val="007D2446"/>
    <w:rsid w:val="007D539B"/>
    <w:rsid w:val="007F609F"/>
    <w:rsid w:val="008045D0"/>
    <w:rsid w:val="00804AD4"/>
    <w:rsid w:val="00812699"/>
    <w:rsid w:val="00817CD9"/>
    <w:rsid w:val="008315DC"/>
    <w:rsid w:val="00834555"/>
    <w:rsid w:val="00835EE5"/>
    <w:rsid w:val="008457BF"/>
    <w:rsid w:val="0085057D"/>
    <w:rsid w:val="008655CD"/>
    <w:rsid w:val="00871BF8"/>
    <w:rsid w:val="00877916"/>
    <w:rsid w:val="008805CD"/>
    <w:rsid w:val="00885794"/>
    <w:rsid w:val="008927B0"/>
    <w:rsid w:val="008A15E3"/>
    <w:rsid w:val="008A53F4"/>
    <w:rsid w:val="008B4C1C"/>
    <w:rsid w:val="008B60C8"/>
    <w:rsid w:val="008C0C17"/>
    <w:rsid w:val="008C1BE6"/>
    <w:rsid w:val="008C643A"/>
    <w:rsid w:val="008D1CA5"/>
    <w:rsid w:val="008E1CB9"/>
    <w:rsid w:val="008E6721"/>
    <w:rsid w:val="008E7D31"/>
    <w:rsid w:val="008F0AC2"/>
    <w:rsid w:val="008F520F"/>
    <w:rsid w:val="00906B82"/>
    <w:rsid w:val="00915125"/>
    <w:rsid w:val="00925A9C"/>
    <w:rsid w:val="00943DC3"/>
    <w:rsid w:val="009441E5"/>
    <w:rsid w:val="00954645"/>
    <w:rsid w:val="00955032"/>
    <w:rsid w:val="00967EE4"/>
    <w:rsid w:val="00974ECB"/>
    <w:rsid w:val="00975F61"/>
    <w:rsid w:val="009801E8"/>
    <w:rsid w:val="009A6071"/>
    <w:rsid w:val="009E4C14"/>
    <w:rsid w:val="009E4E5B"/>
    <w:rsid w:val="009F503A"/>
    <w:rsid w:val="00A001F1"/>
    <w:rsid w:val="00A0544D"/>
    <w:rsid w:val="00A07C61"/>
    <w:rsid w:val="00A07C81"/>
    <w:rsid w:val="00A20041"/>
    <w:rsid w:val="00A21BF6"/>
    <w:rsid w:val="00A2599B"/>
    <w:rsid w:val="00A276C2"/>
    <w:rsid w:val="00A34365"/>
    <w:rsid w:val="00A35A3B"/>
    <w:rsid w:val="00A446F5"/>
    <w:rsid w:val="00A52D50"/>
    <w:rsid w:val="00A60F25"/>
    <w:rsid w:val="00A67D2F"/>
    <w:rsid w:val="00A72270"/>
    <w:rsid w:val="00A86E79"/>
    <w:rsid w:val="00A91F5D"/>
    <w:rsid w:val="00AA3071"/>
    <w:rsid w:val="00AA6E48"/>
    <w:rsid w:val="00AB5CC1"/>
    <w:rsid w:val="00AB730C"/>
    <w:rsid w:val="00AB7D7E"/>
    <w:rsid w:val="00AC4473"/>
    <w:rsid w:val="00AE30A3"/>
    <w:rsid w:val="00AE6774"/>
    <w:rsid w:val="00AE6D9A"/>
    <w:rsid w:val="00AF3EAC"/>
    <w:rsid w:val="00B01FEE"/>
    <w:rsid w:val="00B1132C"/>
    <w:rsid w:val="00B30810"/>
    <w:rsid w:val="00B34951"/>
    <w:rsid w:val="00B54A79"/>
    <w:rsid w:val="00B82F50"/>
    <w:rsid w:val="00B859F9"/>
    <w:rsid w:val="00B90D26"/>
    <w:rsid w:val="00B91FC8"/>
    <w:rsid w:val="00B960EA"/>
    <w:rsid w:val="00B96EC3"/>
    <w:rsid w:val="00BA18BB"/>
    <w:rsid w:val="00BB2A34"/>
    <w:rsid w:val="00BB2F8D"/>
    <w:rsid w:val="00BB5C12"/>
    <w:rsid w:val="00BE4B4C"/>
    <w:rsid w:val="00BE538F"/>
    <w:rsid w:val="00BE5E15"/>
    <w:rsid w:val="00BF25E7"/>
    <w:rsid w:val="00BF4131"/>
    <w:rsid w:val="00BF7F67"/>
    <w:rsid w:val="00C0003E"/>
    <w:rsid w:val="00C014CA"/>
    <w:rsid w:val="00C04DE5"/>
    <w:rsid w:val="00C150CE"/>
    <w:rsid w:val="00C3135E"/>
    <w:rsid w:val="00C522C8"/>
    <w:rsid w:val="00C60859"/>
    <w:rsid w:val="00C63618"/>
    <w:rsid w:val="00C7319C"/>
    <w:rsid w:val="00C7513F"/>
    <w:rsid w:val="00C758CB"/>
    <w:rsid w:val="00C8025C"/>
    <w:rsid w:val="00C9518A"/>
    <w:rsid w:val="00CA0236"/>
    <w:rsid w:val="00CB4B45"/>
    <w:rsid w:val="00CB508D"/>
    <w:rsid w:val="00CC5DD8"/>
    <w:rsid w:val="00CD75E2"/>
    <w:rsid w:val="00CE2740"/>
    <w:rsid w:val="00D109BA"/>
    <w:rsid w:val="00D126AE"/>
    <w:rsid w:val="00D13563"/>
    <w:rsid w:val="00D2182F"/>
    <w:rsid w:val="00D358B2"/>
    <w:rsid w:val="00D3600D"/>
    <w:rsid w:val="00D47C19"/>
    <w:rsid w:val="00D5042B"/>
    <w:rsid w:val="00D5412D"/>
    <w:rsid w:val="00D61E33"/>
    <w:rsid w:val="00D669AE"/>
    <w:rsid w:val="00D77565"/>
    <w:rsid w:val="00D8395A"/>
    <w:rsid w:val="00D85B99"/>
    <w:rsid w:val="00DA12E3"/>
    <w:rsid w:val="00DA7D1E"/>
    <w:rsid w:val="00DB05F5"/>
    <w:rsid w:val="00DB6286"/>
    <w:rsid w:val="00DC0F8F"/>
    <w:rsid w:val="00DC4ADF"/>
    <w:rsid w:val="00DC4BC8"/>
    <w:rsid w:val="00DD2B1F"/>
    <w:rsid w:val="00DD7030"/>
    <w:rsid w:val="00DE5DCF"/>
    <w:rsid w:val="00DF0903"/>
    <w:rsid w:val="00DF317E"/>
    <w:rsid w:val="00DF5B32"/>
    <w:rsid w:val="00E007E4"/>
    <w:rsid w:val="00E06852"/>
    <w:rsid w:val="00E07FCC"/>
    <w:rsid w:val="00E110BC"/>
    <w:rsid w:val="00E13283"/>
    <w:rsid w:val="00E24473"/>
    <w:rsid w:val="00E26342"/>
    <w:rsid w:val="00E35E1F"/>
    <w:rsid w:val="00E452E2"/>
    <w:rsid w:val="00E50905"/>
    <w:rsid w:val="00E63614"/>
    <w:rsid w:val="00E6455B"/>
    <w:rsid w:val="00E7107D"/>
    <w:rsid w:val="00E71292"/>
    <w:rsid w:val="00E81BE9"/>
    <w:rsid w:val="00E85387"/>
    <w:rsid w:val="00E87026"/>
    <w:rsid w:val="00EA5499"/>
    <w:rsid w:val="00EA5513"/>
    <w:rsid w:val="00EA7036"/>
    <w:rsid w:val="00EB14E4"/>
    <w:rsid w:val="00EB16C8"/>
    <w:rsid w:val="00EB3550"/>
    <w:rsid w:val="00EB3C28"/>
    <w:rsid w:val="00EB7FE4"/>
    <w:rsid w:val="00EC28FB"/>
    <w:rsid w:val="00EE39B9"/>
    <w:rsid w:val="00EF5746"/>
    <w:rsid w:val="00F044C5"/>
    <w:rsid w:val="00F048F6"/>
    <w:rsid w:val="00F05339"/>
    <w:rsid w:val="00F06EE6"/>
    <w:rsid w:val="00F12BF7"/>
    <w:rsid w:val="00F13FC9"/>
    <w:rsid w:val="00F20707"/>
    <w:rsid w:val="00F36517"/>
    <w:rsid w:val="00F37CFF"/>
    <w:rsid w:val="00F43B8D"/>
    <w:rsid w:val="00F4477D"/>
    <w:rsid w:val="00F4545B"/>
    <w:rsid w:val="00F511B1"/>
    <w:rsid w:val="00F51E0B"/>
    <w:rsid w:val="00F53125"/>
    <w:rsid w:val="00F542AC"/>
    <w:rsid w:val="00F620C3"/>
    <w:rsid w:val="00F7216B"/>
    <w:rsid w:val="00F731EE"/>
    <w:rsid w:val="00F74919"/>
    <w:rsid w:val="00F75CC1"/>
    <w:rsid w:val="00F80042"/>
    <w:rsid w:val="00F80C65"/>
    <w:rsid w:val="00F867A0"/>
    <w:rsid w:val="00FB2A50"/>
    <w:rsid w:val="00FB47F7"/>
    <w:rsid w:val="00FB6EEF"/>
    <w:rsid w:val="00FC0F7C"/>
    <w:rsid w:val="00FC27A1"/>
    <w:rsid w:val="00FD3AB4"/>
    <w:rsid w:val="00FF0ED7"/>
    <w:rsid w:val="00FF37EA"/>
    <w:rsid w:val="00FF63B3"/>
    <w:rsid w:val="0C1F399E"/>
    <w:rsid w:val="0EB079AD"/>
    <w:rsid w:val="2BF33402"/>
    <w:rsid w:val="4670DB78"/>
    <w:rsid w:val="47CEBF07"/>
    <w:rsid w:val="5086C059"/>
    <w:rsid w:val="545E8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EC1A7"/>
  <w15:chartTrackingRefBased/>
  <w15:docId w15:val="{034190F0-94D3-4CAC-9AA0-FE2DB3A18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550"/>
    <w:rPr>
      <w:rFonts w:ascii="Aptos" w:hAnsi="Aptos"/>
    </w:rPr>
  </w:style>
  <w:style w:type="paragraph" w:styleId="Heading1">
    <w:name w:val="heading 1"/>
    <w:basedOn w:val="Normal"/>
    <w:next w:val="Normal"/>
    <w:link w:val="Heading1Char"/>
    <w:uiPriority w:val="9"/>
    <w:qFormat/>
    <w:rsid w:val="00214DBE"/>
    <w:pPr>
      <w:keepNext/>
      <w:keepLines/>
      <w:spacing w:before="360" w:after="80" w:line="279" w:lineRule="auto"/>
      <w:outlineLvl w:val="0"/>
    </w:pPr>
    <w:rPr>
      <w:rFonts w:eastAsiaTheme="majorEastAsia" w:cstheme="majorBidi"/>
      <w:b/>
      <w:color w:val="0F4761" w:themeColor="accent1" w:themeShade="BF"/>
      <w:sz w:val="28"/>
      <w:szCs w:val="40"/>
    </w:rPr>
  </w:style>
  <w:style w:type="paragraph" w:styleId="Heading2">
    <w:name w:val="heading 2"/>
    <w:basedOn w:val="Normal"/>
    <w:next w:val="Normal"/>
    <w:link w:val="Heading2Char"/>
    <w:uiPriority w:val="9"/>
    <w:unhideWhenUsed/>
    <w:qFormat/>
    <w:rsid w:val="00C8025C"/>
    <w:pPr>
      <w:keepNext/>
      <w:keepLines/>
      <w:spacing w:before="24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C8025C"/>
    <w:pPr>
      <w:keepNext/>
      <w:keepLines/>
      <w:spacing w:before="160" w:after="80"/>
      <w:outlineLvl w:val="2"/>
    </w:pPr>
    <w:rPr>
      <w:rFonts w:asciiTheme="minorHAnsi" w:eastAsiaTheme="majorEastAsia" w:hAnsiTheme="minorHAnsi" w:cstheme="majorBidi"/>
      <w:i/>
      <w:color w:val="0F4761" w:themeColor="accent1" w:themeShade="BF"/>
      <w:szCs w:val="28"/>
    </w:rPr>
  </w:style>
  <w:style w:type="paragraph" w:styleId="Heading4">
    <w:name w:val="heading 4"/>
    <w:basedOn w:val="Normal"/>
    <w:next w:val="Normal"/>
    <w:link w:val="Heading4Char"/>
    <w:uiPriority w:val="9"/>
    <w:unhideWhenUsed/>
    <w:qFormat/>
    <w:rsid w:val="00EB355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EB355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unhideWhenUsed/>
    <w:qFormat/>
    <w:rsid w:val="00EB355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B355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B355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B355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bulletpoint">
    <w:name w:val="PR bulletpoint"/>
    <w:basedOn w:val="ListParagraph"/>
    <w:qFormat/>
    <w:rsid w:val="00214DBE"/>
    <w:pPr>
      <w:numPr>
        <w:numId w:val="1"/>
      </w:numPr>
      <w:spacing w:after="200"/>
      <w:contextualSpacing w:val="0"/>
    </w:pPr>
    <w:rPr>
      <w:rFonts w:eastAsia="Calibri" w:cs="Times New Roman"/>
      <w:kern w:val="0"/>
      <w14:ligatures w14:val="none"/>
    </w:rPr>
  </w:style>
  <w:style w:type="paragraph" w:styleId="ListParagraph">
    <w:name w:val="List Paragraph"/>
    <w:basedOn w:val="Normal"/>
    <w:uiPriority w:val="34"/>
    <w:qFormat/>
    <w:rsid w:val="00214DBE"/>
    <w:pPr>
      <w:ind w:left="720"/>
      <w:contextualSpacing/>
    </w:pPr>
  </w:style>
  <w:style w:type="paragraph" w:styleId="NoSpacing">
    <w:name w:val="No Spacing"/>
    <w:uiPriority w:val="1"/>
    <w:qFormat/>
    <w:rsid w:val="00214DBE"/>
    <w:pPr>
      <w:spacing w:after="0" w:line="240" w:lineRule="auto"/>
    </w:pPr>
    <w:rPr>
      <w:rFonts w:ascii="Aptos" w:hAnsi="Aptos"/>
    </w:rPr>
  </w:style>
  <w:style w:type="character" w:customStyle="1" w:styleId="Heading1Char">
    <w:name w:val="Heading 1 Char"/>
    <w:basedOn w:val="DefaultParagraphFont"/>
    <w:link w:val="Heading1"/>
    <w:uiPriority w:val="9"/>
    <w:rsid w:val="00214DBE"/>
    <w:rPr>
      <w:rFonts w:ascii="Aptos" w:eastAsiaTheme="majorEastAsia" w:hAnsi="Aptos" w:cstheme="majorBidi"/>
      <w:b/>
      <w:color w:val="0F4761" w:themeColor="accent1" w:themeShade="BF"/>
      <w:sz w:val="28"/>
      <w:szCs w:val="40"/>
    </w:rPr>
  </w:style>
  <w:style w:type="character" w:customStyle="1" w:styleId="Heading2Char">
    <w:name w:val="Heading 2 Char"/>
    <w:basedOn w:val="DefaultParagraphFont"/>
    <w:link w:val="Heading2"/>
    <w:uiPriority w:val="9"/>
    <w:rsid w:val="00C8025C"/>
    <w:rPr>
      <w:rFonts w:ascii="Aptos" w:eastAsiaTheme="majorEastAsia" w:hAnsi="Aptos" w:cstheme="majorBidi"/>
      <w:b/>
      <w:sz w:val="24"/>
      <w:szCs w:val="26"/>
    </w:rPr>
  </w:style>
  <w:style w:type="paragraph" w:styleId="Title">
    <w:name w:val="Title"/>
    <w:basedOn w:val="Normal"/>
    <w:next w:val="Normal"/>
    <w:link w:val="TitleChar"/>
    <w:uiPriority w:val="10"/>
    <w:qFormat/>
    <w:rsid w:val="00214DBE"/>
    <w:pPr>
      <w:spacing w:after="0" w:line="240" w:lineRule="auto"/>
      <w:contextualSpacing/>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214DBE"/>
    <w:rPr>
      <w:rFonts w:ascii="Aptos" w:eastAsiaTheme="majorEastAsia" w:hAnsi="Aptos" w:cstheme="majorBidi"/>
      <w:b/>
      <w:spacing w:val="-10"/>
      <w:kern w:val="28"/>
      <w:sz w:val="48"/>
      <w:szCs w:val="56"/>
    </w:rPr>
  </w:style>
  <w:style w:type="character" w:customStyle="1" w:styleId="Heading3Char">
    <w:name w:val="Heading 3 Char"/>
    <w:basedOn w:val="DefaultParagraphFont"/>
    <w:link w:val="Heading3"/>
    <w:uiPriority w:val="9"/>
    <w:rsid w:val="00C8025C"/>
    <w:rPr>
      <w:rFonts w:eastAsiaTheme="majorEastAsia" w:cstheme="majorBidi"/>
      <w:i/>
      <w:color w:val="0F4761" w:themeColor="accent1" w:themeShade="BF"/>
      <w:szCs w:val="28"/>
    </w:rPr>
  </w:style>
  <w:style w:type="character" w:customStyle="1" w:styleId="Heading4Char">
    <w:name w:val="Heading 4 Char"/>
    <w:basedOn w:val="DefaultParagraphFont"/>
    <w:link w:val="Heading4"/>
    <w:uiPriority w:val="9"/>
    <w:rsid w:val="00EB3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B3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EB3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550"/>
    <w:rPr>
      <w:rFonts w:eastAsiaTheme="majorEastAsia" w:cstheme="majorBidi"/>
      <w:color w:val="272727" w:themeColor="text1" w:themeTint="D8"/>
    </w:rPr>
  </w:style>
  <w:style w:type="paragraph" w:styleId="Subtitle">
    <w:name w:val="Subtitle"/>
    <w:basedOn w:val="Normal"/>
    <w:next w:val="Normal"/>
    <w:link w:val="SubtitleChar"/>
    <w:uiPriority w:val="11"/>
    <w:qFormat/>
    <w:rsid w:val="00EB355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5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3550"/>
    <w:rPr>
      <w:rFonts w:ascii="Aptos" w:hAnsi="Aptos"/>
      <w:i/>
      <w:iCs/>
      <w:color w:val="404040" w:themeColor="text1" w:themeTint="BF"/>
    </w:rPr>
  </w:style>
  <w:style w:type="character" w:styleId="IntenseEmphasis">
    <w:name w:val="Intense Emphasis"/>
    <w:basedOn w:val="DefaultParagraphFont"/>
    <w:uiPriority w:val="21"/>
    <w:qFormat/>
    <w:rsid w:val="00EB3550"/>
    <w:rPr>
      <w:i/>
      <w:iCs/>
      <w:color w:val="0F4761" w:themeColor="accent1" w:themeShade="BF"/>
    </w:rPr>
  </w:style>
  <w:style w:type="paragraph" w:styleId="IntenseQuote">
    <w:name w:val="Intense Quote"/>
    <w:basedOn w:val="Normal"/>
    <w:next w:val="Normal"/>
    <w:link w:val="IntenseQuoteChar"/>
    <w:uiPriority w:val="30"/>
    <w:qFormat/>
    <w:rsid w:val="00EB35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550"/>
    <w:rPr>
      <w:rFonts w:ascii="Aptos" w:hAnsi="Aptos"/>
      <w:i/>
      <w:iCs/>
      <w:color w:val="0F4761" w:themeColor="accent1" w:themeShade="BF"/>
    </w:rPr>
  </w:style>
  <w:style w:type="character" w:styleId="IntenseReference">
    <w:name w:val="Intense Reference"/>
    <w:basedOn w:val="DefaultParagraphFont"/>
    <w:uiPriority w:val="32"/>
    <w:qFormat/>
    <w:rsid w:val="00EB3550"/>
    <w:rPr>
      <w:b/>
      <w:bCs/>
      <w:smallCaps/>
      <w:color w:val="0F4761" w:themeColor="accent1" w:themeShade="BF"/>
      <w:spacing w:val="5"/>
    </w:rPr>
  </w:style>
  <w:style w:type="character" w:styleId="CommentReference">
    <w:name w:val="annotation reference"/>
    <w:basedOn w:val="DefaultParagraphFont"/>
    <w:uiPriority w:val="99"/>
    <w:semiHidden/>
    <w:unhideWhenUsed/>
    <w:rsid w:val="00EB3550"/>
    <w:rPr>
      <w:sz w:val="16"/>
      <w:szCs w:val="16"/>
    </w:rPr>
  </w:style>
  <w:style w:type="paragraph" w:styleId="CommentText">
    <w:name w:val="annotation text"/>
    <w:basedOn w:val="Normal"/>
    <w:link w:val="CommentTextChar"/>
    <w:uiPriority w:val="99"/>
    <w:unhideWhenUsed/>
    <w:rsid w:val="00EB3550"/>
    <w:pPr>
      <w:spacing w:line="240" w:lineRule="auto"/>
    </w:pPr>
    <w:rPr>
      <w:sz w:val="20"/>
      <w:szCs w:val="20"/>
    </w:rPr>
  </w:style>
  <w:style w:type="character" w:customStyle="1" w:styleId="CommentTextChar">
    <w:name w:val="Comment Text Char"/>
    <w:basedOn w:val="DefaultParagraphFont"/>
    <w:link w:val="CommentText"/>
    <w:uiPriority w:val="99"/>
    <w:rsid w:val="00EB3550"/>
    <w:rPr>
      <w:rFonts w:ascii="Aptos" w:hAnsi="Aptos"/>
      <w:sz w:val="20"/>
      <w:szCs w:val="20"/>
    </w:rPr>
  </w:style>
  <w:style w:type="paragraph" w:styleId="FootnoteText">
    <w:name w:val="footnote text"/>
    <w:basedOn w:val="Normal"/>
    <w:link w:val="FootnoteTextChar"/>
    <w:uiPriority w:val="99"/>
    <w:unhideWhenUsed/>
    <w:rsid w:val="00EB3550"/>
    <w:pPr>
      <w:spacing w:after="0" w:line="240" w:lineRule="auto"/>
    </w:pPr>
    <w:rPr>
      <w:sz w:val="20"/>
      <w:szCs w:val="20"/>
    </w:rPr>
  </w:style>
  <w:style w:type="character" w:customStyle="1" w:styleId="FootnoteTextChar">
    <w:name w:val="Footnote Text Char"/>
    <w:basedOn w:val="DefaultParagraphFont"/>
    <w:link w:val="FootnoteText"/>
    <w:uiPriority w:val="99"/>
    <w:rsid w:val="00EB3550"/>
    <w:rPr>
      <w:rFonts w:ascii="Aptos" w:hAnsi="Aptos"/>
      <w:sz w:val="20"/>
      <w:szCs w:val="20"/>
    </w:rPr>
  </w:style>
  <w:style w:type="character" w:styleId="FootnoteReference">
    <w:name w:val="footnote reference"/>
    <w:basedOn w:val="DefaultParagraphFont"/>
    <w:uiPriority w:val="99"/>
    <w:unhideWhenUsed/>
    <w:rsid w:val="00EB3550"/>
    <w:rPr>
      <w:vertAlign w:val="superscript"/>
    </w:rPr>
  </w:style>
  <w:style w:type="character" w:styleId="Hyperlink">
    <w:name w:val="Hyperlink"/>
    <w:basedOn w:val="DefaultParagraphFont"/>
    <w:uiPriority w:val="99"/>
    <w:unhideWhenUsed/>
    <w:rsid w:val="00EB3550"/>
    <w:rPr>
      <w:color w:val="467886" w:themeColor="hyperlink"/>
      <w:u w:val="single"/>
    </w:rPr>
  </w:style>
  <w:style w:type="character" w:styleId="UnresolvedMention">
    <w:name w:val="Unresolved Mention"/>
    <w:basedOn w:val="DefaultParagraphFont"/>
    <w:uiPriority w:val="99"/>
    <w:semiHidden/>
    <w:unhideWhenUsed/>
    <w:rsid w:val="00EB3550"/>
    <w:rPr>
      <w:color w:val="605E5C"/>
      <w:shd w:val="clear" w:color="auto" w:fill="E1DFDD"/>
    </w:rPr>
  </w:style>
  <w:style w:type="character" w:styleId="FollowedHyperlink">
    <w:name w:val="FollowedHyperlink"/>
    <w:basedOn w:val="DefaultParagraphFont"/>
    <w:uiPriority w:val="99"/>
    <w:semiHidden/>
    <w:unhideWhenUsed/>
    <w:rsid w:val="00EB3550"/>
    <w:rPr>
      <w:color w:val="96607D" w:themeColor="followedHyperlink"/>
      <w:u w:val="single"/>
    </w:rPr>
  </w:style>
  <w:style w:type="table" w:styleId="TableGrid">
    <w:name w:val="Table Grid"/>
    <w:basedOn w:val="TableNormal"/>
    <w:uiPriority w:val="39"/>
    <w:rsid w:val="00EB3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ds">
    <w:name w:val="legds"/>
    <w:basedOn w:val="DefaultParagraphFont"/>
    <w:rsid w:val="00EB3550"/>
  </w:style>
  <w:style w:type="paragraph" w:styleId="Caption">
    <w:name w:val="caption"/>
    <w:basedOn w:val="Normal"/>
    <w:next w:val="Normal"/>
    <w:link w:val="CaptionChar"/>
    <w:uiPriority w:val="35"/>
    <w:unhideWhenUsed/>
    <w:qFormat/>
    <w:rsid w:val="00EB3550"/>
    <w:pPr>
      <w:keepNext/>
      <w:spacing w:after="200" w:line="240" w:lineRule="auto"/>
    </w:pPr>
    <w:rPr>
      <w:i/>
      <w:iCs/>
      <w:color w:val="0E2841" w:themeColor="text2"/>
      <w:sz w:val="24"/>
      <w:szCs w:val="24"/>
    </w:rPr>
  </w:style>
  <w:style w:type="character" w:styleId="Mention">
    <w:name w:val="Mention"/>
    <w:basedOn w:val="DefaultParagraphFont"/>
    <w:uiPriority w:val="99"/>
    <w:unhideWhenUsed/>
    <w:rsid w:val="00EB3550"/>
    <w:rPr>
      <w:color w:val="2B579A"/>
      <w:shd w:val="clear" w:color="auto" w:fill="E1DFDD"/>
    </w:rPr>
  </w:style>
  <w:style w:type="paragraph" w:styleId="Header">
    <w:name w:val="header"/>
    <w:basedOn w:val="Normal"/>
    <w:link w:val="HeaderChar"/>
    <w:uiPriority w:val="99"/>
    <w:unhideWhenUsed/>
    <w:rsid w:val="00EB35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550"/>
    <w:rPr>
      <w:rFonts w:ascii="Aptos" w:hAnsi="Aptos"/>
    </w:rPr>
  </w:style>
  <w:style w:type="paragraph" w:styleId="Footer">
    <w:name w:val="footer"/>
    <w:basedOn w:val="Normal"/>
    <w:link w:val="FooterChar"/>
    <w:uiPriority w:val="99"/>
    <w:unhideWhenUsed/>
    <w:rsid w:val="00EB35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550"/>
    <w:rPr>
      <w:rFonts w:ascii="Aptos" w:hAnsi="Aptos"/>
    </w:rPr>
  </w:style>
  <w:style w:type="paragraph" w:styleId="CommentSubject">
    <w:name w:val="annotation subject"/>
    <w:basedOn w:val="CommentText"/>
    <w:next w:val="CommentText"/>
    <w:link w:val="CommentSubjectChar"/>
    <w:uiPriority w:val="99"/>
    <w:semiHidden/>
    <w:unhideWhenUsed/>
    <w:rsid w:val="00EB3550"/>
    <w:rPr>
      <w:b/>
      <w:bCs/>
    </w:rPr>
  </w:style>
  <w:style w:type="character" w:customStyle="1" w:styleId="CommentSubjectChar">
    <w:name w:val="Comment Subject Char"/>
    <w:basedOn w:val="CommentTextChar"/>
    <w:link w:val="CommentSubject"/>
    <w:uiPriority w:val="99"/>
    <w:semiHidden/>
    <w:rsid w:val="00EB3550"/>
    <w:rPr>
      <w:rFonts w:ascii="Aptos" w:hAnsi="Aptos"/>
      <w:b/>
      <w:bCs/>
      <w:sz w:val="20"/>
      <w:szCs w:val="20"/>
    </w:rPr>
  </w:style>
  <w:style w:type="paragraph" w:styleId="BalloonText">
    <w:name w:val="Balloon Text"/>
    <w:basedOn w:val="Normal"/>
    <w:link w:val="BalloonTextChar"/>
    <w:uiPriority w:val="99"/>
    <w:semiHidden/>
    <w:unhideWhenUsed/>
    <w:rsid w:val="00EB35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550"/>
    <w:rPr>
      <w:rFonts w:ascii="Segoe UI" w:hAnsi="Segoe UI" w:cs="Segoe UI"/>
      <w:sz w:val="18"/>
      <w:szCs w:val="18"/>
    </w:rPr>
  </w:style>
  <w:style w:type="character" w:customStyle="1" w:styleId="UnresolvedMention1">
    <w:name w:val="Unresolved Mention1"/>
    <w:basedOn w:val="DefaultParagraphFont"/>
    <w:uiPriority w:val="99"/>
    <w:semiHidden/>
    <w:unhideWhenUsed/>
    <w:rsid w:val="00EB3550"/>
    <w:rPr>
      <w:color w:val="605E5C"/>
      <w:shd w:val="clear" w:color="auto" w:fill="E1DFDD"/>
    </w:rPr>
  </w:style>
  <w:style w:type="table" w:styleId="GridTable2-Accent6">
    <w:name w:val="Grid Table 2 Accent 6"/>
    <w:basedOn w:val="TableNormal"/>
    <w:uiPriority w:val="47"/>
    <w:rsid w:val="00EB3550"/>
    <w:pPr>
      <w:spacing w:after="0" w:line="240" w:lineRule="auto"/>
    </w:pPr>
    <w:rPr>
      <w:rFonts w:eastAsiaTheme="minorEastAsia"/>
      <w:kern w:val="0"/>
      <w14:ligatures w14:val="none"/>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EB3550"/>
    <w:pPr>
      <w:spacing w:after="0" w:line="240" w:lineRule="auto"/>
    </w:pPr>
    <w:rPr>
      <w:rFonts w:eastAsiaTheme="minorEastAsia"/>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5">
    <w:name w:val="Grid Table 7 Colorful Accent 5"/>
    <w:basedOn w:val="TableNormal"/>
    <w:uiPriority w:val="52"/>
    <w:rsid w:val="00EB3550"/>
    <w:pPr>
      <w:spacing w:after="0" w:line="240" w:lineRule="auto"/>
    </w:pPr>
    <w:rPr>
      <w:rFonts w:eastAsiaTheme="minorEastAsia"/>
      <w:color w:val="77206D" w:themeColor="accent5" w:themeShade="BF"/>
      <w:kern w:val="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ListTable2">
    <w:name w:val="List Table 2"/>
    <w:basedOn w:val="TableNormal"/>
    <w:uiPriority w:val="47"/>
    <w:rsid w:val="00EB3550"/>
    <w:pPr>
      <w:spacing w:after="0" w:line="240" w:lineRule="auto"/>
    </w:pPr>
    <w:rPr>
      <w:rFonts w:eastAsiaTheme="minorEastAsia"/>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5">
    <w:name w:val="List Table 6 Colorful Accent 5"/>
    <w:basedOn w:val="TableNormal"/>
    <w:uiPriority w:val="51"/>
    <w:rsid w:val="00EB3550"/>
    <w:pPr>
      <w:spacing w:after="0" w:line="240" w:lineRule="auto"/>
    </w:pPr>
    <w:rPr>
      <w:rFonts w:eastAsiaTheme="minorEastAsia"/>
      <w:color w:val="77206D" w:themeColor="accent5" w:themeShade="BF"/>
      <w:kern w:val="0"/>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Regentable">
    <w:name w:val="Regen table"/>
    <w:basedOn w:val="TableNormal"/>
    <w:uiPriority w:val="99"/>
    <w:rsid w:val="00EB3550"/>
    <w:pPr>
      <w:spacing w:after="0" w:line="240" w:lineRule="auto"/>
    </w:pPr>
    <w:rPr>
      <w:rFonts w:eastAsiaTheme="minorEastAsia"/>
      <w:kern w:val="0"/>
      <w14:ligatures w14:val="none"/>
    </w:rPr>
    <w:tblPr>
      <w:tblStyleRowBandSize w:val="1"/>
      <w:tblStyleColBandSize w:val="1"/>
    </w:tblPr>
    <w:tcPr>
      <w:shd w:val="clear" w:color="auto" w:fill="FFFFFF" w:themeFill="background1"/>
    </w:tcPr>
    <w:tblStylePr w:type="firstRow">
      <w:rPr>
        <w:rFonts w:asciiTheme="minorHAnsi" w:hAnsiTheme="minorHAnsi"/>
        <w:b/>
        <w:color w:val="auto"/>
        <w:sz w:val="22"/>
      </w:rPr>
      <w:tblPr/>
      <w:tcPr>
        <w:tcBorders>
          <w:top w:val="nil"/>
          <w:bottom w:val="single" w:sz="4" w:space="0" w:color="E8E8E8" w:themeColor="background2"/>
        </w:tcBorders>
        <w:shd w:val="clear" w:color="auto" w:fill="FFFFFF" w:themeFill="background1"/>
      </w:tcPr>
    </w:tblStylePr>
    <w:tblStylePr w:type="lastRow">
      <w:tblPr/>
      <w:tcPr>
        <w:tcBorders>
          <w:top w:val="double" w:sz="4" w:space="0" w:color="E8E8E8" w:themeColor="background2"/>
          <w:left w:val="nil"/>
          <w:bottom w:val="nil"/>
          <w:right w:val="nil"/>
          <w:insideH w:val="nil"/>
          <w:insideV w:val="nil"/>
        </w:tcBorders>
        <w:shd w:val="clear" w:color="auto" w:fill="F2F2F2" w:themeFill="background1" w:themeFillShade="F2"/>
      </w:tcPr>
    </w:tblStylePr>
    <w:tblStylePr w:type="firstCol">
      <w:rPr>
        <w:b/>
      </w:rPr>
    </w:tblStylePr>
    <w:tblStylePr w:type="band1Horz">
      <w:tblPr/>
      <w:tcPr>
        <w:shd w:val="clear" w:color="auto" w:fill="CFEAED"/>
      </w:tcPr>
    </w:tblStylePr>
  </w:style>
  <w:style w:type="table" w:styleId="PlainTable3">
    <w:name w:val="Plain Table 3"/>
    <w:basedOn w:val="TableNormal"/>
    <w:uiPriority w:val="43"/>
    <w:rsid w:val="00EB3550"/>
    <w:pPr>
      <w:spacing w:after="0" w:line="240" w:lineRule="auto"/>
    </w:pPr>
    <w:rPr>
      <w:rFonts w:eastAsiaTheme="minorEastAsia"/>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trong">
    <w:name w:val="Strong"/>
    <w:basedOn w:val="DefaultParagraphFont"/>
    <w:uiPriority w:val="22"/>
    <w:qFormat/>
    <w:rsid w:val="00EB3550"/>
    <w:rPr>
      <w:rFonts w:ascii="Aptos" w:hAnsi="Aptos"/>
      <w:b/>
      <w:bCs/>
      <w:color w:val="000000" w:themeColor="text1"/>
    </w:rPr>
  </w:style>
  <w:style w:type="character" w:styleId="Emphasis">
    <w:name w:val="Emphasis"/>
    <w:basedOn w:val="DefaultParagraphFont"/>
    <w:uiPriority w:val="20"/>
    <w:qFormat/>
    <w:rsid w:val="00EB3550"/>
    <w:rPr>
      <w:i/>
      <w:iCs/>
      <w:color w:val="auto"/>
    </w:rPr>
  </w:style>
  <w:style w:type="character" w:styleId="SubtleEmphasis">
    <w:name w:val="Subtle Emphasis"/>
    <w:basedOn w:val="DefaultParagraphFont"/>
    <w:uiPriority w:val="19"/>
    <w:rsid w:val="00EB3550"/>
    <w:rPr>
      <w:i/>
      <w:iCs/>
      <w:color w:val="404040" w:themeColor="text1" w:themeTint="BF"/>
    </w:rPr>
  </w:style>
  <w:style w:type="character" w:styleId="SubtleReference">
    <w:name w:val="Subtle Reference"/>
    <w:basedOn w:val="DefaultParagraphFont"/>
    <w:uiPriority w:val="31"/>
    <w:rsid w:val="00EB3550"/>
    <w:rPr>
      <w:smallCaps/>
      <w:color w:val="404040" w:themeColor="text1" w:themeTint="BF"/>
      <w:u w:val="single" w:color="7F7F7F" w:themeColor="text1" w:themeTint="80"/>
    </w:rPr>
  </w:style>
  <w:style w:type="character" w:styleId="BookTitle">
    <w:name w:val="Book Title"/>
    <w:basedOn w:val="DefaultParagraphFont"/>
    <w:uiPriority w:val="33"/>
    <w:rsid w:val="00EB3550"/>
    <w:rPr>
      <w:b w:val="0"/>
      <w:bCs w:val="0"/>
      <w:smallCaps/>
      <w:spacing w:val="5"/>
    </w:rPr>
  </w:style>
  <w:style w:type="paragraph" w:styleId="TOCHeading">
    <w:name w:val="TOC Heading"/>
    <w:basedOn w:val="Heading1"/>
    <w:next w:val="Normal"/>
    <w:uiPriority w:val="39"/>
    <w:unhideWhenUsed/>
    <w:qFormat/>
    <w:rsid w:val="00EB3550"/>
    <w:pPr>
      <w:spacing w:before="320" w:after="480" w:line="276" w:lineRule="auto"/>
      <w:outlineLvl w:val="9"/>
    </w:pPr>
    <w:rPr>
      <w:color w:val="auto"/>
      <w:szCs w:val="32"/>
    </w:rPr>
  </w:style>
  <w:style w:type="character" w:styleId="PlaceholderText">
    <w:name w:val="Placeholder Text"/>
    <w:basedOn w:val="DefaultParagraphFont"/>
    <w:uiPriority w:val="99"/>
    <w:semiHidden/>
    <w:rsid w:val="00EB3550"/>
    <w:rPr>
      <w:color w:val="808080"/>
    </w:rPr>
  </w:style>
  <w:style w:type="paragraph" w:styleId="TOC1">
    <w:name w:val="toc 1"/>
    <w:basedOn w:val="Normal"/>
    <w:next w:val="Normal"/>
    <w:autoRedefine/>
    <w:uiPriority w:val="39"/>
    <w:unhideWhenUsed/>
    <w:rsid w:val="009F503A"/>
    <w:pPr>
      <w:tabs>
        <w:tab w:val="left" w:pos="480"/>
        <w:tab w:val="right" w:leader="dot" w:pos="9016"/>
      </w:tabs>
      <w:spacing w:after="100"/>
    </w:pPr>
    <w:rPr>
      <w:noProof/>
    </w:rPr>
  </w:style>
  <w:style w:type="paragraph" w:styleId="TOC2">
    <w:name w:val="toc 2"/>
    <w:basedOn w:val="Normal"/>
    <w:next w:val="Normal"/>
    <w:autoRedefine/>
    <w:uiPriority w:val="39"/>
    <w:unhideWhenUsed/>
    <w:rsid w:val="00EB3550"/>
    <w:pPr>
      <w:tabs>
        <w:tab w:val="left" w:pos="880"/>
        <w:tab w:val="right" w:leader="dot" w:pos="9016"/>
      </w:tabs>
      <w:spacing w:after="100"/>
      <w:ind w:left="240"/>
    </w:pPr>
    <w:rPr>
      <w:noProof/>
    </w:rPr>
  </w:style>
  <w:style w:type="paragraph" w:styleId="TOC3">
    <w:name w:val="toc 3"/>
    <w:basedOn w:val="Normal"/>
    <w:next w:val="Normal"/>
    <w:autoRedefine/>
    <w:uiPriority w:val="39"/>
    <w:unhideWhenUsed/>
    <w:rsid w:val="00EB3550"/>
    <w:pPr>
      <w:spacing w:after="100"/>
      <w:ind w:left="480"/>
    </w:pPr>
  </w:style>
  <w:style w:type="paragraph" w:styleId="EndnoteText">
    <w:name w:val="endnote text"/>
    <w:basedOn w:val="Normal"/>
    <w:link w:val="EndnoteTextChar"/>
    <w:uiPriority w:val="99"/>
    <w:semiHidden/>
    <w:unhideWhenUsed/>
    <w:rsid w:val="00EB355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3550"/>
    <w:rPr>
      <w:rFonts w:ascii="Aptos" w:hAnsi="Aptos"/>
      <w:sz w:val="20"/>
      <w:szCs w:val="20"/>
    </w:rPr>
  </w:style>
  <w:style w:type="character" w:styleId="EndnoteReference">
    <w:name w:val="endnote reference"/>
    <w:basedOn w:val="DefaultParagraphFont"/>
    <w:uiPriority w:val="99"/>
    <w:semiHidden/>
    <w:unhideWhenUsed/>
    <w:rsid w:val="00EB3550"/>
    <w:rPr>
      <w:vertAlign w:val="superscript"/>
    </w:rPr>
  </w:style>
  <w:style w:type="table" w:styleId="GridTable5Dark-Accent3">
    <w:name w:val="Grid Table 5 Dark Accent 3"/>
    <w:basedOn w:val="TableNormal"/>
    <w:uiPriority w:val="50"/>
    <w:rsid w:val="00EB3550"/>
    <w:pPr>
      <w:spacing w:after="0" w:line="240" w:lineRule="auto"/>
    </w:pPr>
    <w:rPr>
      <w:rFonts w:eastAsiaTheme="minorEastAsia"/>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1">
    <w:name w:val="Grid Table 5 Dark Accent 1"/>
    <w:basedOn w:val="TableNormal"/>
    <w:uiPriority w:val="50"/>
    <w:rsid w:val="00EB3550"/>
    <w:pPr>
      <w:spacing w:after="0" w:line="240" w:lineRule="auto"/>
    </w:pPr>
    <w:rPr>
      <w:rFonts w:eastAsiaTheme="minorEastAsia"/>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paragraph" w:customStyle="1" w:styleId="Sub-title">
    <w:name w:val="Sub-title"/>
    <w:basedOn w:val="Subtitle"/>
    <w:link w:val="Sub-titleChar"/>
    <w:rsid w:val="00EB3550"/>
    <w:pPr>
      <w:pBdr>
        <w:top w:val="single" w:sz="2" w:space="16" w:color="156082" w:themeColor="accent1"/>
      </w:pBdr>
      <w:spacing w:before="600" w:after="240" w:line="288" w:lineRule="auto"/>
    </w:pPr>
    <w:rPr>
      <w:rFonts w:ascii="Aptos Light" w:hAnsi="Aptos Light"/>
      <w:color w:val="156082" w:themeColor="accent1"/>
      <w:spacing w:val="10"/>
      <w:sz w:val="32"/>
    </w:rPr>
  </w:style>
  <w:style w:type="paragraph" w:customStyle="1" w:styleId="Captionsubtitle">
    <w:name w:val="Caption subtitle"/>
    <w:basedOn w:val="Normal"/>
    <w:link w:val="CaptionsubtitleChar"/>
    <w:rsid w:val="00EB3550"/>
    <w:pPr>
      <w:spacing w:before="120"/>
    </w:pPr>
    <w:rPr>
      <w:color w:val="E97132" w:themeColor="accent2"/>
    </w:rPr>
  </w:style>
  <w:style w:type="character" w:customStyle="1" w:styleId="Sub-titleChar">
    <w:name w:val="Sub-title Char"/>
    <w:basedOn w:val="SubtitleChar"/>
    <w:link w:val="Sub-title"/>
    <w:rsid w:val="00EB3550"/>
    <w:rPr>
      <w:rFonts w:ascii="Aptos Light" w:eastAsiaTheme="majorEastAsia" w:hAnsi="Aptos Light" w:cstheme="majorBidi"/>
      <w:color w:val="156082" w:themeColor="accent1"/>
      <w:spacing w:val="10"/>
      <w:sz w:val="32"/>
      <w:szCs w:val="28"/>
    </w:rPr>
  </w:style>
  <w:style w:type="table" w:customStyle="1" w:styleId="Style1">
    <w:name w:val="Style1"/>
    <w:basedOn w:val="TableClassic2"/>
    <w:uiPriority w:val="99"/>
    <w:rsid w:val="00EB3550"/>
    <w:pPr>
      <w:spacing w:after="0" w:line="240" w:lineRule="auto"/>
      <w:jc w:val="center"/>
    </w:pPr>
    <w:tblPr>
      <w:tblBorders>
        <w:top w:val="none" w:sz="0" w:space="0" w:color="auto"/>
        <w:bottom w:val="single" w:sz="2" w:space="0" w:color="D9D9D9" w:themeColor="background1" w:themeShade="D9"/>
        <w:insideH w:val="single" w:sz="4" w:space="0" w:color="D9D9D9" w:themeColor="background1" w:themeShade="D9"/>
      </w:tblBorders>
    </w:tblPr>
    <w:tcPr>
      <w:shd w:val="clear" w:color="auto" w:fill="auto"/>
      <w:vAlign w:val="center"/>
    </w:tcPr>
    <w:tblStylePr w:type="firstRow">
      <w:pPr>
        <w:jc w:val="left"/>
      </w:pPr>
      <w:rPr>
        <w:b/>
        <w:color w:val="FFFFFF"/>
      </w:rPr>
      <w:tblPr/>
      <w:tcPr>
        <w:tcBorders>
          <w:bottom w:val="single" w:sz="6" w:space="0" w:color="000000"/>
          <w:tl2br w:val="none" w:sz="0" w:space="0" w:color="auto"/>
          <w:tr2bl w:val="none" w:sz="0" w:space="0" w:color="auto"/>
        </w:tcBorders>
        <w:shd w:val="clear" w:color="auto" w:fill="0E2841" w:themeFill="text2"/>
      </w:tcPr>
    </w:tblStylePr>
    <w:tblStylePr w:type="lastRow">
      <w:tblPr/>
      <w:tcPr>
        <w:tcBorders>
          <w:top w:val="double" w:sz="8" w:space="0" w:color="196B24" w:themeColor="accent3"/>
          <w:bottom w:val="nil"/>
          <w:tl2br w:val="none" w:sz="0" w:space="0" w:color="auto"/>
          <w:tr2bl w:val="none" w:sz="0" w:space="0" w:color="auto"/>
        </w:tcBorders>
        <w:shd w:val="clear" w:color="auto" w:fill="auto"/>
      </w:tcPr>
    </w:tblStylePr>
    <w:tblStylePr w:type="firstCol">
      <w:rPr>
        <w:b/>
        <w:bCs/>
      </w:rPr>
      <w:tblPr/>
      <w:tcPr>
        <w:tcBorders>
          <w:tl2br w:val="none" w:sz="0" w:space="0" w:color="auto"/>
          <w:tr2bl w:val="none" w:sz="0" w:space="0" w:color="auto"/>
        </w:tcBorders>
        <w:shd w:val="clear" w:color="auto" w:fill="F2F2F2" w:themeFill="background1" w:themeFillShade="F2"/>
      </w:tcPr>
    </w:tblStylePr>
    <w:tblStylePr w:type="neCell">
      <w:rPr>
        <w:b/>
        <w:bCs/>
      </w:rPr>
      <w:tblPr/>
      <w:tcPr>
        <w:tcBorders>
          <w:tl2br w:val="none" w:sz="0" w:space="0" w:color="auto"/>
          <w:tr2bl w:val="none" w:sz="0" w:space="0" w:color="auto"/>
        </w:tcBorders>
        <w:shd w:val="clear" w:color="auto" w:fill="0E2841" w:themeFill="text2"/>
      </w:tcPr>
    </w:tblStylePr>
    <w:tblStylePr w:type="nwCell">
      <w:tblPr/>
      <w:tcPr>
        <w:tcBorders>
          <w:tl2br w:val="none" w:sz="0" w:space="0" w:color="auto"/>
          <w:tr2bl w:val="none" w:sz="0" w:space="0" w:color="auto"/>
        </w:tcBorders>
        <w:shd w:val="clear" w:color="auto" w:fill="0E2841" w:themeFill="text2"/>
      </w:tcPr>
    </w:tblStylePr>
    <w:tblStylePr w:type="seCell">
      <w:tblPr/>
      <w:tcPr>
        <w:shd w:val="clear" w:color="auto" w:fill="FFFFFF" w:themeFill="background1"/>
      </w:tcPr>
    </w:tblStylePr>
    <w:tblStylePr w:type="swCell">
      <w:rPr>
        <w:color w:val="000080"/>
      </w:rPr>
      <w:tblPr/>
      <w:tcPr>
        <w:tcBorders>
          <w:tl2br w:val="none" w:sz="0" w:space="0" w:color="auto"/>
          <w:tr2bl w:val="none" w:sz="0" w:space="0" w:color="auto"/>
        </w:tcBorders>
        <w:shd w:val="clear" w:color="auto" w:fill="F2F2F2" w:themeFill="background1" w:themeFillShade="F2"/>
      </w:tcPr>
    </w:tblStylePr>
  </w:style>
  <w:style w:type="character" w:customStyle="1" w:styleId="CaptionsubtitleChar">
    <w:name w:val="Caption subtitle Char"/>
    <w:basedOn w:val="DefaultParagraphFont"/>
    <w:link w:val="Captionsubtitle"/>
    <w:rsid w:val="00EB3550"/>
    <w:rPr>
      <w:rFonts w:ascii="Aptos" w:hAnsi="Aptos"/>
      <w:color w:val="E97132" w:themeColor="accent2"/>
    </w:rPr>
  </w:style>
  <w:style w:type="table" w:styleId="TableClassic1">
    <w:name w:val="Table Classic 1"/>
    <w:basedOn w:val="TableNormal"/>
    <w:uiPriority w:val="99"/>
    <w:semiHidden/>
    <w:unhideWhenUsed/>
    <w:rsid w:val="00EB3550"/>
    <w:pPr>
      <w:spacing w:before="160" w:after="160" w:line="288" w:lineRule="auto"/>
      <w:jc w:val="both"/>
    </w:pPr>
    <w:rPr>
      <w:rFonts w:eastAsiaTheme="minorEastAsia"/>
      <w:kern w:val="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B3550"/>
    <w:pPr>
      <w:spacing w:before="160" w:after="160" w:line="288" w:lineRule="auto"/>
      <w:jc w:val="both"/>
    </w:pPr>
    <w:rPr>
      <w:rFonts w:eastAsiaTheme="minorEastAsia"/>
      <w:kern w:val="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Default">
    <w:name w:val="Default"/>
    <w:basedOn w:val="Normal"/>
    <w:rsid w:val="00EB3550"/>
    <w:pPr>
      <w:autoSpaceDE w:val="0"/>
      <w:autoSpaceDN w:val="0"/>
      <w:spacing w:after="0" w:line="240" w:lineRule="auto"/>
    </w:pPr>
    <w:rPr>
      <w:rFonts w:ascii="Arial" w:hAnsi="Arial" w:cs="Arial"/>
      <w:color w:val="000000"/>
      <w:szCs w:val="24"/>
    </w:rPr>
  </w:style>
  <w:style w:type="paragraph" w:customStyle="1" w:styleId="Casestudytext">
    <w:name w:val="Case study text"/>
    <w:basedOn w:val="Normal"/>
    <w:link w:val="CasestudytextChar"/>
    <w:rsid w:val="00EB3550"/>
    <w:pPr>
      <w:shd w:val="clear" w:color="auto" w:fill="E8E8E8" w:themeFill="background2"/>
      <w:spacing w:before="100" w:beforeAutospacing="1" w:after="100" w:afterAutospacing="1" w:line="259" w:lineRule="auto"/>
    </w:pPr>
    <w:rPr>
      <w:rFonts w:ascii="Calibri Light" w:hAnsi="Calibri Light"/>
      <w:color w:val="000000" w:themeColor="text1"/>
    </w:rPr>
  </w:style>
  <w:style w:type="character" w:customStyle="1" w:styleId="CasestudytextChar">
    <w:name w:val="Case study text Char"/>
    <w:basedOn w:val="DefaultParagraphFont"/>
    <w:link w:val="Casestudytext"/>
    <w:rsid w:val="00EB3550"/>
    <w:rPr>
      <w:rFonts w:ascii="Calibri Light" w:hAnsi="Calibri Light"/>
      <w:color w:val="000000" w:themeColor="text1"/>
      <w:shd w:val="clear" w:color="auto" w:fill="E8E8E8" w:themeFill="background2"/>
    </w:rPr>
  </w:style>
  <w:style w:type="paragraph" w:styleId="Revision">
    <w:name w:val="Revision"/>
    <w:hidden/>
    <w:uiPriority w:val="99"/>
    <w:semiHidden/>
    <w:rsid w:val="00EB3550"/>
    <w:pPr>
      <w:spacing w:after="0" w:line="240" w:lineRule="auto"/>
    </w:pPr>
    <w:rPr>
      <w:rFonts w:ascii="Myriad Pro Light" w:eastAsiaTheme="minorEastAsia" w:hAnsi="Myriad Pro Light"/>
      <w:color w:val="2E2E2E"/>
      <w:kern w:val="0"/>
      <w:sz w:val="23"/>
      <w14:ligatures w14:val="none"/>
    </w:rPr>
  </w:style>
  <w:style w:type="paragraph" w:customStyle="1" w:styleId="Category">
    <w:name w:val="Category"/>
    <w:basedOn w:val="Title"/>
    <w:link w:val="CategoryChar"/>
    <w:rsid w:val="00EB3550"/>
    <w:pPr>
      <w:spacing w:before="100" w:beforeAutospacing="1" w:after="100" w:afterAutospacing="1"/>
    </w:pPr>
    <w:rPr>
      <w:color w:val="000000" w:themeColor="text1"/>
      <w:sz w:val="28"/>
      <w:szCs w:val="36"/>
    </w:rPr>
  </w:style>
  <w:style w:type="character" w:customStyle="1" w:styleId="CategoryChar">
    <w:name w:val="Category Char"/>
    <w:basedOn w:val="TitleChar"/>
    <w:link w:val="Category"/>
    <w:rsid w:val="00EB3550"/>
    <w:rPr>
      <w:rFonts w:ascii="Aptos" w:eastAsiaTheme="majorEastAsia" w:hAnsi="Aptos" w:cstheme="majorBidi"/>
      <w:b/>
      <w:color w:val="000000" w:themeColor="text1"/>
      <w:spacing w:val="-10"/>
      <w:kern w:val="28"/>
      <w:sz w:val="28"/>
      <w:szCs w:val="36"/>
    </w:rPr>
  </w:style>
  <w:style w:type="paragraph" w:customStyle="1" w:styleId="FigureTitle">
    <w:name w:val="Figure Title"/>
    <w:basedOn w:val="Caption"/>
    <w:next w:val="Notes-source"/>
    <w:link w:val="FigureTitleChar"/>
    <w:rsid w:val="00EB3550"/>
    <w:pPr>
      <w:spacing w:after="0"/>
    </w:pPr>
    <w:rPr>
      <w:b/>
      <w:sz w:val="28"/>
    </w:rPr>
  </w:style>
  <w:style w:type="paragraph" w:customStyle="1" w:styleId="Notes-source">
    <w:name w:val="Notes-source"/>
    <w:basedOn w:val="Normal"/>
    <w:link w:val="Notes-sourceChar"/>
    <w:rsid w:val="00EB3550"/>
    <w:pPr>
      <w:spacing w:before="120" w:after="240"/>
    </w:pPr>
    <w:rPr>
      <w:sz w:val="20"/>
    </w:rPr>
  </w:style>
  <w:style w:type="character" w:customStyle="1" w:styleId="CaptionChar">
    <w:name w:val="Caption Char"/>
    <w:basedOn w:val="DefaultParagraphFont"/>
    <w:link w:val="Caption"/>
    <w:uiPriority w:val="35"/>
    <w:rsid w:val="00EB3550"/>
    <w:rPr>
      <w:rFonts w:ascii="Aptos" w:hAnsi="Aptos"/>
      <w:i/>
      <w:iCs/>
      <w:color w:val="0E2841" w:themeColor="text2"/>
      <w:sz w:val="24"/>
      <w:szCs w:val="24"/>
    </w:rPr>
  </w:style>
  <w:style w:type="character" w:customStyle="1" w:styleId="FigureTitleChar">
    <w:name w:val="Figure Title Char"/>
    <w:basedOn w:val="CaptionChar"/>
    <w:link w:val="FigureTitle"/>
    <w:rsid w:val="00EB3550"/>
    <w:rPr>
      <w:rFonts w:ascii="Aptos" w:hAnsi="Aptos"/>
      <w:b/>
      <w:i/>
      <w:iCs/>
      <w:color w:val="0E2841" w:themeColor="text2"/>
      <w:sz w:val="28"/>
      <w:szCs w:val="24"/>
    </w:rPr>
  </w:style>
  <w:style w:type="character" w:customStyle="1" w:styleId="Notes-sourceChar">
    <w:name w:val="Notes-source Char"/>
    <w:basedOn w:val="DefaultParagraphFont"/>
    <w:link w:val="Notes-source"/>
    <w:rsid w:val="00EB3550"/>
    <w:rPr>
      <w:rFonts w:ascii="Aptos" w:hAnsi="Aptos"/>
      <w:sz w:val="20"/>
    </w:rPr>
  </w:style>
  <w:style w:type="paragraph" w:customStyle="1" w:styleId="sectionsubtitle">
    <w:name w:val="section subtitle"/>
    <w:basedOn w:val="Normal"/>
    <w:next w:val="Normal"/>
    <w:link w:val="sectionsubtitleChar"/>
    <w:rsid w:val="00EB3550"/>
    <w:pPr>
      <w:spacing w:after="480"/>
    </w:pPr>
    <w:rPr>
      <w:color w:val="156082" w:themeColor="accent1"/>
      <w:sz w:val="28"/>
    </w:rPr>
  </w:style>
  <w:style w:type="character" w:customStyle="1" w:styleId="sectionsubtitleChar">
    <w:name w:val="section subtitle Char"/>
    <w:basedOn w:val="DefaultParagraphFont"/>
    <w:link w:val="sectionsubtitle"/>
    <w:rsid w:val="00EB3550"/>
    <w:rPr>
      <w:rFonts w:ascii="Aptos" w:hAnsi="Aptos"/>
      <w:color w:val="156082" w:themeColor="accent1"/>
      <w:sz w:val="28"/>
    </w:rPr>
  </w:style>
  <w:style w:type="paragraph" w:customStyle="1" w:styleId="Quoteauthor">
    <w:name w:val="Quote author"/>
    <w:basedOn w:val="Quote"/>
    <w:next w:val="Normal"/>
    <w:rsid w:val="00EB3550"/>
    <w:pPr>
      <w:keepNext/>
      <w:keepLines/>
      <w:framePr w:wrap="notBeside" w:vAnchor="text" w:hAnchor="text" w:y="1"/>
      <w:spacing w:before="120" w:after="120"/>
      <w:ind w:left="737" w:right="737"/>
      <w:contextualSpacing/>
      <w:jc w:val="left"/>
    </w:pPr>
    <w:rPr>
      <w:rFonts w:ascii="Aptos Serif" w:hAnsi="Aptos Serif"/>
      <w:b/>
      <w:color w:val="156082" w:themeColor="accent1"/>
      <w:sz w:val="20"/>
    </w:rPr>
  </w:style>
  <w:style w:type="paragraph" w:styleId="NormalWeb">
    <w:name w:val="Normal (Web)"/>
    <w:basedOn w:val="Normal"/>
    <w:uiPriority w:val="99"/>
    <w:semiHidden/>
    <w:unhideWhenUsed/>
    <w:rsid w:val="00EB355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PlainTable2">
    <w:name w:val="Plain Table 2"/>
    <w:basedOn w:val="TableNormal"/>
    <w:uiPriority w:val="42"/>
    <w:rsid w:val="00EB3550"/>
    <w:pPr>
      <w:spacing w:after="0" w:line="240" w:lineRule="auto"/>
    </w:pPr>
    <w:rPr>
      <w:rFonts w:eastAsiaTheme="minorEastAsia"/>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2-Accent61">
    <w:name w:val="Grid Table 2 - Accent 61"/>
    <w:basedOn w:val="TableNormal"/>
    <w:uiPriority w:val="47"/>
    <w:rsid w:val="00EB3550"/>
    <w:pPr>
      <w:spacing w:after="0" w:line="240" w:lineRule="auto"/>
    </w:pPr>
    <w:rPr>
      <w:rFonts w:eastAsiaTheme="minorEastAsia"/>
      <w:kern w:val="0"/>
      <w14:ligatures w14:val="none"/>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7Colorful1">
    <w:name w:val="Grid Table 7 Colorful1"/>
    <w:basedOn w:val="TableNormal"/>
    <w:uiPriority w:val="52"/>
    <w:rsid w:val="00EB3550"/>
    <w:pPr>
      <w:spacing w:after="0" w:line="240" w:lineRule="auto"/>
    </w:pPr>
    <w:rPr>
      <w:rFonts w:eastAsiaTheme="minorEastAsia"/>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51">
    <w:name w:val="Grid Table 7 Colorful - Accent 51"/>
    <w:basedOn w:val="TableNormal"/>
    <w:uiPriority w:val="52"/>
    <w:rsid w:val="00EB3550"/>
    <w:pPr>
      <w:spacing w:after="0" w:line="240" w:lineRule="auto"/>
    </w:pPr>
    <w:rPr>
      <w:rFonts w:eastAsiaTheme="minorEastAsia"/>
      <w:color w:val="77206D" w:themeColor="accent5" w:themeShade="BF"/>
      <w:kern w:val="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customStyle="1" w:styleId="ListTable21">
    <w:name w:val="List Table 21"/>
    <w:basedOn w:val="TableNormal"/>
    <w:uiPriority w:val="47"/>
    <w:rsid w:val="00EB3550"/>
    <w:pPr>
      <w:spacing w:after="0" w:line="240" w:lineRule="auto"/>
    </w:pPr>
    <w:rPr>
      <w:rFonts w:eastAsiaTheme="minorEastAsia"/>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51">
    <w:name w:val="List Table 6 Colorful - Accent 51"/>
    <w:basedOn w:val="TableNormal"/>
    <w:uiPriority w:val="51"/>
    <w:rsid w:val="00EB3550"/>
    <w:pPr>
      <w:spacing w:after="0" w:line="240" w:lineRule="auto"/>
    </w:pPr>
    <w:rPr>
      <w:rFonts w:eastAsiaTheme="minorEastAsia"/>
      <w:color w:val="77206D" w:themeColor="accent5" w:themeShade="BF"/>
      <w:kern w:val="0"/>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PlainTable31">
    <w:name w:val="Plain Table 31"/>
    <w:basedOn w:val="TableNormal"/>
    <w:uiPriority w:val="43"/>
    <w:rsid w:val="00EB3550"/>
    <w:pPr>
      <w:spacing w:after="0" w:line="240" w:lineRule="auto"/>
    </w:pPr>
    <w:rPr>
      <w:rFonts w:eastAsiaTheme="minorEastAsia"/>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2">
    <w:name w:val="Unresolved Mention2"/>
    <w:basedOn w:val="DefaultParagraphFont"/>
    <w:uiPriority w:val="99"/>
    <w:semiHidden/>
    <w:unhideWhenUsed/>
    <w:rsid w:val="00EB3550"/>
    <w:rPr>
      <w:color w:val="605E5C"/>
      <w:shd w:val="clear" w:color="auto" w:fill="E1DFDD"/>
    </w:rPr>
  </w:style>
  <w:style w:type="table" w:customStyle="1" w:styleId="GridTable5Dark-Accent31">
    <w:name w:val="Grid Table 5 Dark - Accent 31"/>
    <w:basedOn w:val="TableNormal"/>
    <w:uiPriority w:val="50"/>
    <w:rsid w:val="00EB3550"/>
    <w:pPr>
      <w:spacing w:after="0" w:line="240" w:lineRule="auto"/>
    </w:pPr>
    <w:rPr>
      <w:rFonts w:eastAsiaTheme="minorEastAsia"/>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customStyle="1" w:styleId="GridTable5Dark-Accent11">
    <w:name w:val="Grid Table 5 Dark - Accent 11"/>
    <w:basedOn w:val="TableNormal"/>
    <w:uiPriority w:val="50"/>
    <w:rsid w:val="00EB3550"/>
    <w:pPr>
      <w:spacing w:after="0" w:line="240" w:lineRule="auto"/>
    </w:pPr>
    <w:rPr>
      <w:rFonts w:eastAsiaTheme="minorEastAsia"/>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character" w:customStyle="1" w:styleId="Mention1">
    <w:name w:val="Mention1"/>
    <w:basedOn w:val="DefaultParagraphFont"/>
    <w:uiPriority w:val="99"/>
    <w:unhideWhenUsed/>
    <w:rsid w:val="00EB3550"/>
    <w:rPr>
      <w:color w:val="2B579A"/>
      <w:shd w:val="clear" w:color="auto" w:fill="E1DFDD"/>
    </w:rPr>
  </w:style>
  <w:style w:type="paragraph" w:customStyle="1" w:styleId="pf0">
    <w:name w:val="pf0"/>
    <w:basedOn w:val="Normal"/>
    <w:rsid w:val="00EB355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f01">
    <w:name w:val="cf01"/>
    <w:basedOn w:val="DefaultParagraphFont"/>
    <w:rsid w:val="00EB355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58824">
      <w:bodyDiv w:val="1"/>
      <w:marLeft w:val="0"/>
      <w:marRight w:val="0"/>
      <w:marTop w:val="0"/>
      <w:marBottom w:val="0"/>
      <w:divBdr>
        <w:top w:val="none" w:sz="0" w:space="0" w:color="auto"/>
        <w:left w:val="none" w:sz="0" w:space="0" w:color="auto"/>
        <w:bottom w:val="none" w:sz="0" w:space="0" w:color="auto"/>
        <w:right w:val="none" w:sz="0" w:space="0" w:color="auto"/>
      </w:divBdr>
    </w:div>
    <w:div w:id="341785732">
      <w:bodyDiv w:val="1"/>
      <w:marLeft w:val="0"/>
      <w:marRight w:val="0"/>
      <w:marTop w:val="0"/>
      <w:marBottom w:val="0"/>
      <w:divBdr>
        <w:top w:val="none" w:sz="0" w:space="0" w:color="auto"/>
        <w:left w:val="none" w:sz="0" w:space="0" w:color="auto"/>
        <w:bottom w:val="none" w:sz="0" w:space="0" w:color="auto"/>
        <w:right w:val="none" w:sz="0" w:space="0" w:color="auto"/>
      </w:divBdr>
    </w:div>
    <w:div w:id="451284750">
      <w:bodyDiv w:val="1"/>
      <w:marLeft w:val="0"/>
      <w:marRight w:val="0"/>
      <w:marTop w:val="0"/>
      <w:marBottom w:val="0"/>
      <w:divBdr>
        <w:top w:val="none" w:sz="0" w:space="0" w:color="auto"/>
        <w:left w:val="none" w:sz="0" w:space="0" w:color="auto"/>
        <w:bottom w:val="none" w:sz="0" w:space="0" w:color="auto"/>
        <w:right w:val="none" w:sz="0" w:space="0" w:color="auto"/>
      </w:divBdr>
    </w:div>
    <w:div w:id="205504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scot/publications/good-practice-guidance-applications-under-sections-36-37-electricity-act-1989/" TargetMode="External"/><Relationship Id="rId21" Type="http://schemas.openxmlformats.org/officeDocument/2006/relationships/hyperlink" Target="https://www.gov.wales/sites/default/files/publications/2021-02/future-wales-the-national-plan-2040.pdf" TargetMode="External"/><Relationship Id="rId42" Type="http://schemas.openxmlformats.org/officeDocument/2006/relationships/hyperlink" Target="https://www.gov.scot/publications/marine-scotland-consenting-licensing-manual-offshore-wind-wave-tidal-energy-applications/" TargetMode="External"/><Relationship Id="rId47" Type="http://schemas.openxmlformats.org/officeDocument/2006/relationships/hyperlink" Target="https://pa.eastlothian.gov.uk/online-applications/applicationDetails.do?activeTab=documents&amp;keyVal=RMIIHDGNMEI00" TargetMode="External"/><Relationship Id="rId63" Type="http://schemas.openxmlformats.org/officeDocument/2006/relationships/hyperlink" Target="https://www.daera-ni.gov.uk/sites/default/files/publications/daera/NIEA%20Interim%20Operational%20Policy%20Run%20of%20River%20Guidance%20-%20April%202018.pdf" TargetMode="External"/><Relationship Id="rId68" Type="http://schemas.openxmlformats.org/officeDocument/2006/relationships/hyperlink" Target="https://www.renewableuk.com/news-and-resources/publications/planning-for-onshore-green-hydrogen-report/" TargetMode="External"/><Relationship Id="rId84" Type="http://schemas.openxmlformats.org/officeDocument/2006/relationships/hyperlink" Target="https://www.salixfinance.co.uk/tools-and-resources/heat-networks" TargetMode="External"/><Relationship Id="rId89" Type="http://schemas.openxmlformats.org/officeDocument/2006/relationships/hyperlink" Target="https://www.legislation.gov.uk/asp/2021/9/contents" TargetMode="External"/><Relationship Id="rId16" Type="http://schemas.openxmlformats.org/officeDocument/2006/relationships/hyperlink" Target="https://www.gov.uk/government/publications/clean-power-2030-action-plan/clean-power-2030-action-plan-a-new-era-of-clean-electricity-main-report" TargetMode="External"/><Relationship Id="rId11" Type="http://schemas.openxmlformats.org/officeDocument/2006/relationships/hyperlink" Target="https://www.rtpi.org.uk/policy-and-research/spatial-approaches-to-local-energy-planning-resource-suite-salep/" TargetMode="External"/><Relationship Id="rId32" Type="http://schemas.openxmlformats.org/officeDocument/2006/relationships/hyperlink" Target="https://www.gov.uk/government/publications/strategic-road-network-and-the-delivery-of-sustainable-development/strategic-road-network-and-the-delivery-of-sustainable-development" TargetMode="External"/><Relationship Id="rId37" Type="http://schemas.openxmlformats.org/officeDocument/2006/relationships/hyperlink" Target="https://www.gov.scot/publications/onshore-wind-turbines-planning-advice/" TargetMode="External"/><Relationship Id="rId53" Type="http://schemas.openxmlformats.org/officeDocument/2006/relationships/hyperlink" Target="https://www.judiciaryni.uk/files/judiciaryni/decisions/ABO%20Wind%20NI%20Limited%20and%20Energia%20Renewables%20Company%201%20Limited%27s%20Application.pdf" TargetMode="External"/><Relationship Id="rId58" Type="http://schemas.openxmlformats.org/officeDocument/2006/relationships/hyperlink" Target="https://www.gov.uk/guidance/new-hydropower-scheme-apply-to-build-one" TargetMode="External"/><Relationship Id="rId74" Type="http://schemas.openxmlformats.org/officeDocument/2006/relationships/hyperlink" Target="https://www.gov.wales/sites/default/files/publications/2022-03/technical-advice-note-15-development-flooding-and-coastal-erosion.pdf" TargetMode="External"/><Relationship Id="rId79" Type="http://schemas.openxmlformats.org/officeDocument/2006/relationships/hyperlink" Target="https://www.ssen-transmission.co.uk/globalassets/projects/2030-projects/2030-project-documents/town-and-country-planning.pdf" TargetMode="External"/><Relationship Id="rId5" Type="http://schemas.openxmlformats.org/officeDocument/2006/relationships/numbering" Target="numbering.xml"/><Relationship Id="rId90" Type="http://schemas.openxmlformats.org/officeDocument/2006/relationships/hyperlink" Target="https://www.gov.scot/publications/heat-network-zone-hnz-guidance/" TargetMode="External"/><Relationship Id="rId95" Type="http://schemas.openxmlformats.org/officeDocument/2006/relationships/theme" Target="theme/theme1.xml"/><Relationship Id="rId22" Type="http://schemas.openxmlformats.org/officeDocument/2006/relationships/hyperlink" Target="https://www.gov.wales/sites/default/files/publications/2024-07/planning-policy-wales-edition-12.pdf" TargetMode="External"/><Relationship Id="rId27" Type="http://schemas.openxmlformats.org/officeDocument/2006/relationships/hyperlink" Target="https://assets.publishing.service.gov.uk/media/672107c587df31a87d8c482f/electricity-infrastructure-consenting-scotland-consultation-document.pdf" TargetMode="External"/><Relationship Id="rId43" Type="http://schemas.openxmlformats.org/officeDocument/2006/relationships/hyperlink" Target="https://www.economy-ni.gov.uk/consultations/draft-offshore-renewable-energy-action-plan" TargetMode="External"/><Relationship Id="rId48" Type="http://schemas.openxmlformats.org/officeDocument/2006/relationships/hyperlink" Target="https://www.gov.uk/government/publications/agricultural-land-assess-proposals-for-development/guide-to-assessing-development-proposals-on-agricultural-land" TargetMode="External"/><Relationship Id="rId64" Type="http://schemas.openxmlformats.org/officeDocument/2006/relationships/hyperlink" Target="https://www.iow.gov.uk/environment-and-planning/climate-and-environment/perpetuus-tidal-energy-centre/tidal-energy-project-details/" TargetMode="External"/><Relationship Id="rId69" Type="http://schemas.openxmlformats.org/officeDocument/2006/relationships/hyperlink" Target="https://www.stephensonharwood.com/docs/default-source/news-insights-documents/2021/hydrogen-projects-regulation-and-consents.pdf?sfvrsn=15c6eb5b_2" TargetMode="External"/><Relationship Id="rId8" Type="http://schemas.openxmlformats.org/officeDocument/2006/relationships/webSettings" Target="webSettings.xml"/><Relationship Id="rId51" Type="http://schemas.openxmlformats.org/officeDocument/2006/relationships/hyperlink" Target="https://www.gov.scot/publications/battery-storage-consents-and-variations-to-planning-permission-for-energy-generating-ancillary-uses-chief-planner-letter-august-2020/" TargetMode="External"/><Relationship Id="rId72" Type="http://schemas.openxmlformats.org/officeDocument/2006/relationships/hyperlink" Target="https://www.improvementservice.org.uk/products-and-services/planning-and-place-based-approaches/planning-skills/introduction-to-hydrogen-for-the-public-sector" TargetMode="External"/><Relationship Id="rId80" Type="http://schemas.openxmlformats.org/officeDocument/2006/relationships/hyperlink" Target="https://www.ssen.co.uk/our-services/land-rights/land-rights-new-connections/" TargetMode="External"/><Relationship Id="rId85" Type="http://schemas.openxmlformats.org/officeDocument/2006/relationships/hyperlink" Target="https://assets.publishing.service.gov.uk/media/65b11a75160765000d18f7f8/energy-security-bill-heat-network-market-framework.pdf" TargetMode="External"/><Relationship Id="rId93"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gettyimages.co.uk/search/photographer?photographer=yevtony" TargetMode="External"/><Relationship Id="rId17" Type="http://schemas.openxmlformats.org/officeDocument/2006/relationships/hyperlink" Target="https://nic.org.uk/app/uploads/NIA-2-Technical-annex-hydrogen-heating-Final-18-October-2023.pdf" TargetMode="External"/><Relationship Id="rId25" Type="http://schemas.openxmlformats.org/officeDocument/2006/relationships/hyperlink" Target="https://www.gov.scot/publications/national-planning-framework-4/" TargetMode="External"/><Relationship Id="rId33" Type="http://schemas.openxmlformats.org/officeDocument/2006/relationships/hyperlink" Target="https://www.gov.wales/sites/default/files/publications/2018-09/planning-implications-renewable-low-carbon-energy-development.pdf" TargetMode="External"/><Relationship Id="rId38" Type="http://schemas.openxmlformats.org/officeDocument/2006/relationships/hyperlink" Target="https://www.daera-ni.gov.uk/articles/wind-energy-installations" TargetMode="External"/><Relationship Id="rId46" Type="http://schemas.openxmlformats.org/officeDocument/2006/relationships/hyperlink" Target="https://tethys.pnnl.gov/publications/gwynt-y-mor-offshore-wind-farm-environmental-statement" TargetMode="External"/><Relationship Id="rId59" Type="http://schemas.openxmlformats.org/officeDocument/2006/relationships/hyperlink" Target="https://naturalresources.wales/permits-and-permissions/water-abstraction-and-impoundment/hydropower/applying-for-licences-for-hydropower-schemes/?lang=en" TargetMode="External"/><Relationship Id="rId67" Type="http://schemas.openxmlformats.org/officeDocument/2006/relationships/hyperlink" Target="https://www.gov.uk/government/publications/hydrogen-projects-planning-barriers-and-solutions" TargetMode="External"/><Relationship Id="rId20" Type="http://schemas.openxmlformats.org/officeDocument/2006/relationships/hyperlink" Target="https://assets.publishing.service.gov.uk/media/65bbfbdc709fe1000f637052/overarching-nps-for-energy-en1.pdf" TargetMode="External"/><Relationship Id="rId41" Type="http://schemas.openxmlformats.org/officeDocument/2006/relationships/hyperlink" Target="https://www.gov.scot/binaries/content/documents/govscot/publications/advice-and-guidance/2020/10/offshore-wind-policy-statement/documents/offshore-wind-policy-statement/offshore-wind-policy-statement/govscot%3Adocument/offshore-wind-policy-statement.pdf" TargetMode="External"/><Relationship Id="rId54" Type="http://schemas.openxmlformats.org/officeDocument/2006/relationships/hyperlink" Target="https://www.energyinst.org/technical/publications/sectors/power-generation-other/battery-storage-guidance-note-1-battery-storage-planning" TargetMode="External"/><Relationship Id="rId62" Type="http://schemas.openxmlformats.org/officeDocument/2006/relationships/hyperlink" Target="https://www.gov.scot/publications/hydro-schemes-planning-advice/" TargetMode="External"/><Relationship Id="rId70" Type="http://schemas.openxmlformats.org/officeDocument/2006/relationships/hyperlink" Target="https://www.gov.scot/binaries/content/documents/govscot/publications/speech-statement/2020/12/scottish-government-hydrogen-policy-statement/documents/scottish-government-hydrogen-policy-statement/scottish-government-hydrogen-policy-statement/govscot%3Adocument/scottish-government-hydrogen-policy-statement.pdf" TargetMode="External"/><Relationship Id="rId75" Type="http://schemas.openxmlformats.org/officeDocument/2006/relationships/hyperlink" Target="https://assets.publishing.service.gov.uk/media/65a78a5496a5ec000d731abb/nps-electricity-networks-infrastructure-en5.pdf" TargetMode="External"/><Relationship Id="rId83" Type="http://schemas.openxmlformats.org/officeDocument/2006/relationships/hyperlink" Target="https://www.london.gov.uk/sites/default/files/211004_lhnmii_master_final.pdf" TargetMode="External"/><Relationship Id="rId88" Type="http://schemas.openxmlformats.org/officeDocument/2006/relationships/hyperlink" Target="https://assets.publishing.service.gov.uk/media/65b3c38c0c75e30012d8012f/heat-network-zoning-consultation-2023.pdf" TargetMode="External"/><Relationship Id="rId91" Type="http://schemas.openxmlformats.org/officeDocument/2006/relationships/hyperlink" Target="https://www.economy-ni.gov.uk/articles/heat-network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hart" Target="charts/chart1.xml"/><Relationship Id="rId23" Type="http://schemas.openxmlformats.org/officeDocument/2006/relationships/hyperlink" Target="https://www.gov.wales/sites/default/files/publications/2022-06/guidance-local-and-shared-ownership-of-energy-projects-in-wales_0.pdf" TargetMode="External"/><Relationship Id="rId28" Type="http://schemas.openxmlformats.org/officeDocument/2006/relationships/hyperlink" Target="https://www.infrastructure-ni.gov.uk/sites/default/files/publications/infrastructure/Best%20Practice%20Guidance%20to%20PPS%2018%20-%20Renewable%20Energy_0.pdf" TargetMode="External"/><Relationship Id="rId36" Type="http://schemas.openxmlformats.org/officeDocument/2006/relationships/hyperlink" Target="https://www.gov.scot/publications/onshore-wind-turbines-planning-advice/" TargetMode="External"/><Relationship Id="rId49" Type="http://schemas.openxmlformats.org/officeDocument/2006/relationships/hyperlink" Target="https://www.nature.scot/doc/naturescot-pre-application-guidance-solar-farms" TargetMode="External"/><Relationship Id="rId57" Type="http://schemas.openxmlformats.org/officeDocument/2006/relationships/hyperlink" Target="https://www.gov.uk/government/publications/grid-scale-electrical-energy-storage-systems-health-and-safety/health-and-safety-in-grid-scale-electrical-energy-storage-systems-accessible-webpage" TargetMode="External"/><Relationship Id="rId10" Type="http://schemas.openxmlformats.org/officeDocument/2006/relationships/endnotes" Target="endnotes.xml"/><Relationship Id="rId31" Type="http://schemas.openxmlformats.org/officeDocument/2006/relationships/hyperlink" Target="https://www.ioa.org.uk/sites/default/files/IOA%20Good%20Practice%20Guide%20on%20Wind%20Turbine%20Noise%20-%20May%202013.pdf" TargetMode="External"/><Relationship Id="rId44" Type="http://schemas.openxmlformats.org/officeDocument/2006/relationships/hyperlink" Target="https://infrastructure.planninginspectorate.gov.uk/wp-content/ipc/uploads/projects/EN010125/EN010125-000412-8.8%20Design%20Access%20Statement.pdf" TargetMode="External"/><Relationship Id="rId52" Type="http://schemas.openxmlformats.org/officeDocument/2006/relationships/hyperlink" Target="https://www.infrastructure-ni.gov.uk/sites/default/files/publications/infrastructure/cpu7-dec2020.pdf" TargetMode="External"/><Relationship Id="rId60" Type="http://schemas.openxmlformats.org/officeDocument/2006/relationships/hyperlink" Target="https://naturalresources.wales/permits-and-permissions/water-abstraction-and-impoundment/hydropower/approvals-licences-and-consents-needed-for-hydropower-schemes/?lang=en" TargetMode="External"/><Relationship Id="rId65" Type="http://schemas.openxmlformats.org/officeDocument/2006/relationships/hyperlink" Target="https://www.gov.wales/sites/default/files/publications/2021-12/morlais-demonstration-zone-welsh-ministers-decision-letter.pdf" TargetMode="External"/><Relationship Id="rId73" Type="http://schemas.openxmlformats.org/officeDocument/2006/relationships/hyperlink" Target="https://www.gov.wales/sites/default/files/publications/2024-06/hybont-how-to-guide.pdf" TargetMode="External"/><Relationship Id="rId78" Type="http://schemas.openxmlformats.org/officeDocument/2006/relationships/hyperlink" Target="https://www.gov.scot/binaries/content/documents/govscot/publications/advice-and-guidance/2018/12/energy-consents-overhead-line-applications-without-an-eia-report/documents/s37-applications-without-an-eia-report-guidance/s37-applications-without-an-eia-report-guidance/govscot%3Adocument/Section%2B37%2Bapplications%2Bwithout%2Ban%2BEIA%2Breport%2B-%2Bguidance%2B-%2Bupdated%2BAugust%2B2019.pdf" TargetMode="External"/><Relationship Id="rId81" Type="http://schemas.openxmlformats.org/officeDocument/2006/relationships/hyperlink" Target="https://www.cibse.org/knowledge-research/knowledge-portal/cp1-heat-networks-code-of-practice-for-the-uk-2020-pdf" TargetMode="External"/><Relationship Id="rId86" Type="http://schemas.openxmlformats.org/officeDocument/2006/relationships/hyperlink" Target="https://www.bristol.gov.uk/council/policies-plans-and-strategies/energy-and-environment/bristol-heat-network-local-development-order"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clean-power-2030-action-plan/clean-power-2030-action-plan-a-new-era-of-clean-electricity-main-report" TargetMode="External"/><Relationship Id="rId18" Type="http://schemas.openxmlformats.org/officeDocument/2006/relationships/hyperlink" Target="https://assets.publishing.service.gov.uk/media/67aafe8f3b41f783cca46251/NPPF_December_2024.pdf" TargetMode="External"/><Relationship Id="rId39" Type="http://schemas.openxmlformats.org/officeDocument/2006/relationships/hyperlink" Target="https://www.infrastructure-ni.gov.uk/sites/default/files/publications/infrastructure/Wind%20Energy%20Development%20in%20Northern%20Ireland%20Landscapes_0.pdf" TargetMode="External"/><Relationship Id="rId34" Type="http://schemas.openxmlformats.org/officeDocument/2006/relationships/hyperlink" Target="https://www.gov.wales/sites/default/files/publications/2018-09/planning-implications-renewable-low-carbon-energy-development.pdf" TargetMode="External"/><Relationship Id="rId50" Type="http://schemas.openxmlformats.org/officeDocument/2006/relationships/hyperlink" Target="https://www.daera-ni.gov.uk/articles/solar-energy" TargetMode="External"/><Relationship Id="rId55" Type="http://schemas.openxmlformats.org/officeDocument/2006/relationships/hyperlink" Target="https://nfcc.org.uk/wp-content/uploads/2023/10/Grid-Scale-Battery-Energy-Storage-System-planning-Guidance-for-FRS.pdf" TargetMode="External"/><Relationship Id="rId76" Type="http://schemas.openxmlformats.org/officeDocument/2006/relationships/hyperlink" Target="https://assets.publishing.service.gov.uk/media/67168359d100972c0f4c9b41/strategic-spatial-energy-plan-ssep-neso-commission.pdf" TargetMode="External"/><Relationship Id="rId7" Type="http://schemas.openxmlformats.org/officeDocument/2006/relationships/settings" Target="settings.xml"/><Relationship Id="rId71" Type="http://schemas.openxmlformats.org/officeDocument/2006/relationships/hyperlink" Target="https://www.gov.scot/publications/hydrogen-action-plan/pages/3/" TargetMode="External"/><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https://www.infrastructure-ni.gov.uk/sites/default/files/consultations/infrastructure/Review%20of%20Regional%20Strategic%20Planning%20Policy%20on%20Renewable%20%26%20Low%20Carbon%20Energy.pdf" TargetMode="External"/><Relationship Id="rId24" Type="http://schemas.openxmlformats.org/officeDocument/2006/relationships/hyperlink" Target="https://www.gov.wales/sites/default/files/publications/2023-12/designing-for-renewable-energy-in-wales.pdf" TargetMode="External"/><Relationship Id="rId40" Type="http://schemas.openxmlformats.org/officeDocument/2006/relationships/hyperlink" Target="https://naturalresources.wales/guidance-and-advice/business-sectors/marine/offshore-wind-developments/?lang=en" TargetMode="External"/><Relationship Id="rId45" Type="http://schemas.openxmlformats.org/officeDocument/2006/relationships/hyperlink" Target="https://tethys.pnnl.gov/publications/gwynt-y-mor-offshore-wind-farm-environmental-statement" TargetMode="External"/><Relationship Id="rId66" Type="http://schemas.openxmlformats.org/officeDocument/2006/relationships/hyperlink" Target="https://marine.gov.scot/datafiles/lot/Meygen/MeyGen_Offshore_Tidal_Array_SoS_Scoping_Opinion_Report.pdf" TargetMode="External"/><Relationship Id="rId87" Type="http://schemas.openxmlformats.org/officeDocument/2006/relationships/hyperlink" Target="https://www.gov.uk/government/publications/heat-networks-zoning-pilot" TargetMode="External"/><Relationship Id="rId61" Type="http://schemas.openxmlformats.org/officeDocument/2006/relationships/hyperlink" Target="https://www.sepa.org.uk/media/383805/guidance-_for_developers_of_run_of_river_hydropower_schemes.pdf" TargetMode="External"/><Relationship Id="rId82" Type="http://schemas.openxmlformats.org/officeDocument/2006/relationships/hyperlink" Target="https://www.cibse.org/knowledge-research/knowledge-portal/cp1-heat-networks-code-of-practice-for-the-uk-2020-pdf" TargetMode="External"/><Relationship Id="rId19" Type="http://schemas.openxmlformats.org/officeDocument/2006/relationships/hyperlink" Target="https://www.gov.uk/guidance/renewable-and-low-carbon-energy" TargetMode="External"/><Relationship Id="rId14" Type="http://schemas.openxmlformats.org/officeDocument/2006/relationships/hyperlink" Target="https://www.neso.energy/document/346651/download" TargetMode="External"/><Relationship Id="rId30" Type="http://schemas.openxmlformats.org/officeDocument/2006/relationships/hyperlink" Target="https://www.gov.uk/government/publications/wind-farms-ministry-of-defence-safeguarding/wind-farms-mod-safeguarding" TargetMode="External"/><Relationship Id="rId35" Type="http://schemas.openxmlformats.org/officeDocument/2006/relationships/hyperlink" Target="https://www.gov.scot/binaries/content/documents/govscot/publications/strategy-plan/2022/12/onshore-wind-policy-statement-2022/documents/onshore-wind-policy-statement-2022/onshore-wind-policy-statement-2022/govscot%3Adocument/onshore-wind-policy-statement-2022.pdf" TargetMode="External"/><Relationship Id="rId56" Type="http://schemas.openxmlformats.org/officeDocument/2006/relationships/hyperlink" Target="https://nfcc.org.uk/consultation/draft-grid-scale-energy-storage-system-planning-guidance/" TargetMode="External"/><Relationship Id="rId77" Type="http://schemas.openxmlformats.org/officeDocument/2006/relationships/hyperlink" Target="https://assets.publishing.service.gov.uk/media/5bd5b09840f0b6051e77b69d/S37GuidanceJuly2014__3_.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TEMPLATE%20-%20Excel%20Workbook%20and%20Charts1"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rtl="0">
              <a:defRPr lang="en-GB" sz="1400" b="0" i="0" u="none" strike="noStrike" kern="1200" spc="0" baseline="0">
                <a:solidFill>
                  <a:sysClr val="windowText" lastClr="000000"/>
                </a:solidFill>
                <a:latin typeface="+mn-lt"/>
                <a:ea typeface="+mn-ea"/>
                <a:cs typeface="+mn-cs"/>
              </a:defRPr>
            </a:pPr>
            <a:r>
              <a:rPr lang="en-GB" sz="1400" b="1"/>
              <a:t>Capacity mixes in CP2030</a:t>
            </a:r>
            <a:br>
              <a:rPr lang="en-GB" sz="1400" b="1"/>
            </a:br>
            <a:r>
              <a:rPr lang="en-GB" sz="1400" b="1"/>
              <a:t>2023 vs CP2030 future scenarios</a:t>
            </a:r>
          </a:p>
        </c:rich>
      </c:tx>
      <c:layout>
        <c:manualLayout>
          <c:xMode val="edge"/>
          <c:yMode val="edge"/>
          <c:x val="3.2458287606581863E-2"/>
          <c:y val="2.8592115640717324E-2"/>
        </c:manualLayout>
      </c:layout>
      <c:overlay val="0"/>
      <c:spPr>
        <a:noFill/>
        <a:ln>
          <a:noFill/>
        </a:ln>
        <a:effectLst/>
      </c:spPr>
      <c:txPr>
        <a:bodyPr rot="0" spcFirstLastPara="1" vertOverflow="ellipsis" vert="horz" wrap="square" anchor="ctr" anchorCtr="1"/>
        <a:lstStyle/>
        <a:p>
          <a:pPr algn="l" rtl="0">
            <a:defRPr lang="en-GB"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9397132150245028"/>
          <c:y val="0.16165385392617815"/>
          <c:w val="0.56260409560482305"/>
          <c:h val="0.59630695426616487"/>
        </c:manualLayout>
      </c:layout>
      <c:barChart>
        <c:barDir val="col"/>
        <c:grouping val="stacked"/>
        <c:varyColors val="0"/>
        <c:ser>
          <c:idx val="1"/>
          <c:order val="0"/>
          <c:tx>
            <c:strRef>
              <c:f>'[Clean Power 2030 Data Workbook_V001.xlsx]CP.17'!$M$8</c:f>
              <c:strCache>
                <c:ptCount val="1"/>
                <c:pt idx="0">
                  <c:v>Offshore Wind</c:v>
                </c:pt>
              </c:strCache>
            </c:strRef>
          </c:tx>
          <c:spPr>
            <a:solidFill>
              <a:schemeClr val="accent1">
                <a:lumMod val="50000"/>
              </a:schemeClr>
            </a:solidFill>
            <a:ln>
              <a:noFill/>
            </a:ln>
            <a:effectLst/>
          </c:spPr>
          <c:invertIfNegative val="0"/>
          <c:cat>
            <c:multiLvlStrRef>
              <c:f>'[Clean Power 2030 Data Workbook_V001.xlsx]CP.17'!$P$6:$R$7</c:f>
              <c:multiLvlStrCache>
                <c:ptCount val="3"/>
                <c:lvl>
                  <c:pt idx="0">
                    <c:v>Installed</c:v>
                  </c:pt>
                  <c:pt idx="1">
                    <c:v>Further Flex and Renewables</c:v>
                  </c:pt>
                  <c:pt idx="2">
                    <c:v>New Dispatch</c:v>
                  </c:pt>
                </c:lvl>
                <c:lvl>
                  <c:pt idx="0">
                    <c:v>2023</c:v>
                  </c:pt>
                  <c:pt idx="1">
                    <c:v>2030</c:v>
                  </c:pt>
                </c:lvl>
              </c:multiLvlStrCache>
            </c:multiLvlStrRef>
          </c:cat>
          <c:val>
            <c:numRef>
              <c:f>'[Clean Power 2030 Data Workbook_V001.xlsx]CP.17'!$P$8:$R$8</c:f>
              <c:numCache>
                <c:formatCode>0.0</c:formatCode>
                <c:ptCount val="3"/>
                <c:pt idx="0">
                  <c:v>14.7165</c:v>
                </c:pt>
                <c:pt idx="1">
                  <c:v>50.649090000000001</c:v>
                </c:pt>
                <c:pt idx="2">
                  <c:v>43.11909</c:v>
                </c:pt>
              </c:numCache>
            </c:numRef>
          </c:val>
          <c:extLst xmlns:c15="http://schemas.microsoft.com/office/drawing/2012/chart">
            <c:ext xmlns:c16="http://schemas.microsoft.com/office/drawing/2014/chart" uri="{C3380CC4-5D6E-409C-BE32-E72D297353CC}">
              <c16:uniqueId val="{00000000-DA5C-4E04-A24F-EBD0272310AA}"/>
            </c:ext>
          </c:extLst>
        </c:ser>
        <c:ser>
          <c:idx val="0"/>
          <c:order val="1"/>
          <c:tx>
            <c:strRef>
              <c:f>'[Clean Power 2030 Data Workbook_V001.xlsx]CP.17'!$M$9</c:f>
              <c:strCache>
                <c:ptCount val="1"/>
                <c:pt idx="0">
                  <c:v>Onshore Wind</c:v>
                </c:pt>
              </c:strCache>
            </c:strRef>
          </c:tx>
          <c:spPr>
            <a:solidFill>
              <a:schemeClr val="accent1"/>
            </a:solidFill>
            <a:ln>
              <a:noFill/>
            </a:ln>
            <a:effectLst/>
          </c:spPr>
          <c:invertIfNegative val="0"/>
          <c:cat>
            <c:multiLvlStrRef>
              <c:f>'[Clean Power 2030 Data Workbook_V001.xlsx]CP.17'!$P$6:$R$7</c:f>
              <c:multiLvlStrCache>
                <c:ptCount val="3"/>
                <c:lvl>
                  <c:pt idx="0">
                    <c:v>Installed</c:v>
                  </c:pt>
                  <c:pt idx="1">
                    <c:v>Further Flex and Renewables</c:v>
                  </c:pt>
                  <c:pt idx="2">
                    <c:v>New Dispatch</c:v>
                  </c:pt>
                </c:lvl>
                <c:lvl>
                  <c:pt idx="0">
                    <c:v>2023</c:v>
                  </c:pt>
                  <c:pt idx="1">
                    <c:v>2030</c:v>
                  </c:pt>
                </c:lvl>
              </c:multiLvlStrCache>
            </c:multiLvlStrRef>
          </c:cat>
          <c:val>
            <c:numRef>
              <c:f>'[Clean Power 2030 Data Workbook_V001.xlsx]CP.17'!$P$9:$R$9</c:f>
              <c:numCache>
                <c:formatCode>0.0</c:formatCode>
                <c:ptCount val="3"/>
                <c:pt idx="0">
                  <c:v>13.694939999999999</c:v>
                </c:pt>
                <c:pt idx="1">
                  <c:v>27.326370000000001</c:v>
                </c:pt>
                <c:pt idx="2">
                  <c:v>27.328995878312629</c:v>
                </c:pt>
              </c:numCache>
            </c:numRef>
          </c:val>
          <c:extLst>
            <c:ext xmlns:c16="http://schemas.microsoft.com/office/drawing/2014/chart" uri="{C3380CC4-5D6E-409C-BE32-E72D297353CC}">
              <c16:uniqueId val="{00000001-DA5C-4E04-A24F-EBD0272310AA}"/>
            </c:ext>
          </c:extLst>
        </c:ser>
        <c:ser>
          <c:idx val="8"/>
          <c:order val="2"/>
          <c:tx>
            <c:strRef>
              <c:f>'[Clean Power 2030 Data Workbook_V001.xlsx]CP.17'!$M$17</c:f>
              <c:strCache>
                <c:ptCount val="1"/>
                <c:pt idx="0">
                  <c:v>Biomass &amp; BECCS</c:v>
                </c:pt>
              </c:strCache>
            </c:strRef>
          </c:tx>
          <c:spPr>
            <a:solidFill>
              <a:schemeClr val="accent3">
                <a:lumMod val="60000"/>
              </a:schemeClr>
            </a:solidFill>
            <a:ln>
              <a:noFill/>
            </a:ln>
            <a:effectLst/>
          </c:spPr>
          <c:invertIfNegative val="0"/>
          <c:cat>
            <c:multiLvlStrRef>
              <c:f>'[Clean Power 2030 Data Workbook_V001.xlsx]CP.17'!$P$6:$R$7</c:f>
              <c:multiLvlStrCache>
                <c:ptCount val="3"/>
                <c:lvl>
                  <c:pt idx="0">
                    <c:v>Installed</c:v>
                  </c:pt>
                  <c:pt idx="1">
                    <c:v>Further Flex and Renewables</c:v>
                  </c:pt>
                  <c:pt idx="2">
                    <c:v>New Dispatch</c:v>
                  </c:pt>
                </c:lvl>
                <c:lvl>
                  <c:pt idx="0">
                    <c:v>2023</c:v>
                  </c:pt>
                  <c:pt idx="1">
                    <c:v>2030</c:v>
                  </c:pt>
                </c:lvl>
              </c:multiLvlStrCache>
            </c:multiLvlStrRef>
          </c:cat>
          <c:val>
            <c:numRef>
              <c:f>'[Clean Power 2030 Data Workbook_V001.xlsx]CP.17'!$P$17:$R$17</c:f>
              <c:numCache>
                <c:formatCode>0.0</c:formatCode>
                <c:ptCount val="3"/>
                <c:pt idx="0">
                  <c:v>4.3284409999999998</c:v>
                </c:pt>
                <c:pt idx="1">
                  <c:v>3.9941</c:v>
                </c:pt>
                <c:pt idx="2">
                  <c:v>3.8090999999999999</c:v>
                </c:pt>
              </c:numCache>
            </c:numRef>
          </c:val>
          <c:extLst>
            <c:ext xmlns:c16="http://schemas.microsoft.com/office/drawing/2014/chart" uri="{C3380CC4-5D6E-409C-BE32-E72D297353CC}">
              <c16:uniqueId val="{00000002-DA5C-4E04-A24F-EBD0272310AA}"/>
            </c:ext>
          </c:extLst>
        </c:ser>
        <c:ser>
          <c:idx val="3"/>
          <c:order val="3"/>
          <c:tx>
            <c:strRef>
              <c:f>'[Clean Power 2030 Data Workbook_V001.xlsx]CP.17'!$M$11</c:f>
              <c:strCache>
                <c:ptCount val="1"/>
                <c:pt idx="0">
                  <c:v>Nuclear</c:v>
                </c:pt>
              </c:strCache>
            </c:strRef>
          </c:tx>
          <c:spPr>
            <a:solidFill>
              <a:schemeClr val="accent3"/>
            </a:solidFill>
            <a:ln>
              <a:noFill/>
            </a:ln>
            <a:effectLst/>
          </c:spPr>
          <c:invertIfNegative val="0"/>
          <c:cat>
            <c:multiLvlStrRef>
              <c:f>'[Clean Power 2030 Data Workbook_V001.xlsx]CP.17'!$P$6:$R$7</c:f>
              <c:multiLvlStrCache>
                <c:ptCount val="3"/>
                <c:lvl>
                  <c:pt idx="0">
                    <c:v>Installed</c:v>
                  </c:pt>
                  <c:pt idx="1">
                    <c:v>Further Flex and Renewables</c:v>
                  </c:pt>
                  <c:pt idx="2">
                    <c:v>New Dispatch</c:v>
                  </c:pt>
                </c:lvl>
                <c:lvl>
                  <c:pt idx="0">
                    <c:v>2023</c:v>
                  </c:pt>
                  <c:pt idx="1">
                    <c:v>2030</c:v>
                  </c:pt>
                </c:lvl>
              </c:multiLvlStrCache>
            </c:multiLvlStrRef>
          </c:cat>
          <c:val>
            <c:numRef>
              <c:f>'[Clean Power 2030 Data Workbook_V001.xlsx]CP.17'!$P$11:$R$11</c:f>
              <c:numCache>
                <c:formatCode>0.0</c:formatCode>
                <c:ptCount val="3"/>
                <c:pt idx="0">
                  <c:v>6.0750000000000002</c:v>
                </c:pt>
                <c:pt idx="1">
                  <c:v>3.5150000000000001</c:v>
                </c:pt>
                <c:pt idx="2">
                  <c:v>4.13</c:v>
                </c:pt>
              </c:numCache>
            </c:numRef>
          </c:val>
          <c:extLst>
            <c:ext xmlns:c16="http://schemas.microsoft.com/office/drawing/2014/chart" uri="{C3380CC4-5D6E-409C-BE32-E72D297353CC}">
              <c16:uniqueId val="{00000003-DA5C-4E04-A24F-EBD0272310AA}"/>
            </c:ext>
          </c:extLst>
        </c:ser>
        <c:ser>
          <c:idx val="2"/>
          <c:order val="4"/>
          <c:tx>
            <c:strRef>
              <c:f>'[Clean Power 2030 Data Workbook_V001.xlsx]CP.17'!$M$10</c:f>
              <c:strCache>
                <c:ptCount val="1"/>
                <c:pt idx="0">
                  <c:v>Solar</c:v>
                </c:pt>
              </c:strCache>
            </c:strRef>
          </c:tx>
          <c:spPr>
            <a:solidFill>
              <a:schemeClr val="accent4"/>
            </a:solidFill>
            <a:ln>
              <a:noFill/>
            </a:ln>
            <a:effectLst/>
          </c:spPr>
          <c:invertIfNegative val="0"/>
          <c:cat>
            <c:multiLvlStrRef>
              <c:f>'[Clean Power 2030 Data Workbook_V001.xlsx]CP.17'!$P$6:$R$7</c:f>
              <c:multiLvlStrCache>
                <c:ptCount val="3"/>
                <c:lvl>
                  <c:pt idx="0">
                    <c:v>Installed</c:v>
                  </c:pt>
                  <c:pt idx="1">
                    <c:v>Further Flex and Renewables</c:v>
                  </c:pt>
                  <c:pt idx="2">
                    <c:v>New Dispatch</c:v>
                  </c:pt>
                </c:lvl>
                <c:lvl>
                  <c:pt idx="0">
                    <c:v>2023</c:v>
                  </c:pt>
                  <c:pt idx="1">
                    <c:v>2030</c:v>
                  </c:pt>
                </c:lvl>
              </c:multiLvlStrCache>
            </c:multiLvlStrRef>
          </c:cat>
          <c:val>
            <c:numRef>
              <c:f>'[Clean Power 2030 Data Workbook_V001.xlsx]CP.17'!$P$10:$R$10</c:f>
              <c:numCache>
                <c:formatCode>0.0</c:formatCode>
                <c:ptCount val="3"/>
                <c:pt idx="0">
                  <c:v>15.136189999999999</c:v>
                </c:pt>
                <c:pt idx="1">
                  <c:v>47.35398</c:v>
                </c:pt>
                <c:pt idx="2">
                  <c:v>47.35182309567999</c:v>
                </c:pt>
              </c:numCache>
            </c:numRef>
          </c:val>
          <c:extLst>
            <c:ext xmlns:c16="http://schemas.microsoft.com/office/drawing/2014/chart" uri="{C3380CC4-5D6E-409C-BE32-E72D297353CC}">
              <c16:uniqueId val="{00000004-DA5C-4E04-A24F-EBD0272310AA}"/>
            </c:ext>
          </c:extLst>
        </c:ser>
        <c:ser>
          <c:idx val="10"/>
          <c:order val="5"/>
          <c:tx>
            <c:strRef>
              <c:f>'[Clean Power 2030 Data Workbook_V001.xlsx]CP.17'!$M$12</c:f>
              <c:strCache>
                <c:ptCount val="1"/>
                <c:pt idx="0">
                  <c:v>Battery</c:v>
                </c:pt>
              </c:strCache>
            </c:strRef>
          </c:tx>
          <c:spPr>
            <a:solidFill>
              <a:schemeClr val="accent4">
                <a:lumMod val="60000"/>
                <a:lumOff val="40000"/>
              </a:schemeClr>
            </a:solidFill>
            <a:ln>
              <a:noFill/>
            </a:ln>
            <a:effectLst/>
          </c:spPr>
          <c:invertIfNegative val="0"/>
          <c:val>
            <c:numRef>
              <c:f>'[Clean Power 2030 Data Workbook_V001.xlsx]CP.17'!$P$12:$R$12</c:f>
              <c:numCache>
                <c:formatCode>0.0</c:formatCode>
                <c:ptCount val="3"/>
                <c:pt idx="0">
                  <c:v>4.6764500000000009</c:v>
                </c:pt>
                <c:pt idx="1">
                  <c:v>27.38345</c:v>
                </c:pt>
                <c:pt idx="2">
                  <c:v>22.62537</c:v>
                </c:pt>
              </c:numCache>
            </c:numRef>
          </c:val>
          <c:extLst>
            <c:ext xmlns:c16="http://schemas.microsoft.com/office/drawing/2014/chart" uri="{C3380CC4-5D6E-409C-BE32-E72D297353CC}">
              <c16:uniqueId val="{00000005-DA5C-4E04-A24F-EBD0272310AA}"/>
            </c:ext>
          </c:extLst>
        </c:ser>
        <c:ser>
          <c:idx val="4"/>
          <c:order val="6"/>
          <c:tx>
            <c:strRef>
              <c:f>'[Clean Power 2030 Data Workbook_V001.xlsx]CP.17'!$M$13</c:f>
              <c:strCache>
                <c:ptCount val="1"/>
                <c:pt idx="0">
                  <c:v>LDES</c:v>
                </c:pt>
              </c:strCache>
            </c:strRef>
          </c:tx>
          <c:spPr>
            <a:solidFill>
              <a:schemeClr val="accent6">
                <a:lumMod val="50000"/>
              </a:schemeClr>
            </a:solidFill>
            <a:ln>
              <a:noFill/>
            </a:ln>
            <a:effectLst/>
          </c:spPr>
          <c:invertIfNegative val="0"/>
          <c:cat>
            <c:multiLvlStrRef>
              <c:f>'[Clean Power 2030 Data Workbook_V001.xlsx]CP.17'!$P$6:$R$7</c:f>
              <c:multiLvlStrCache>
                <c:ptCount val="3"/>
                <c:lvl>
                  <c:pt idx="0">
                    <c:v>Installed</c:v>
                  </c:pt>
                  <c:pt idx="1">
                    <c:v>Further Flex and Renewables</c:v>
                  </c:pt>
                  <c:pt idx="2">
                    <c:v>New Dispatch</c:v>
                  </c:pt>
                </c:lvl>
                <c:lvl>
                  <c:pt idx="0">
                    <c:v>2023</c:v>
                  </c:pt>
                  <c:pt idx="1">
                    <c:v>2030</c:v>
                  </c:pt>
                </c:lvl>
              </c:multiLvlStrCache>
            </c:multiLvlStrRef>
          </c:cat>
          <c:val>
            <c:numRef>
              <c:f>'[Clean Power 2030 Data Workbook_V001.xlsx]CP.17'!$P$13:$R$13</c:f>
              <c:numCache>
                <c:formatCode>0.0</c:formatCode>
                <c:ptCount val="3"/>
                <c:pt idx="0">
                  <c:v>2.7522899999999999</c:v>
                </c:pt>
                <c:pt idx="1">
                  <c:v>7.8581900000000005</c:v>
                </c:pt>
                <c:pt idx="2">
                  <c:v>4.5738899999999996</c:v>
                </c:pt>
              </c:numCache>
            </c:numRef>
          </c:val>
          <c:extLst>
            <c:ext xmlns:c16="http://schemas.microsoft.com/office/drawing/2014/chart" uri="{C3380CC4-5D6E-409C-BE32-E72D297353CC}">
              <c16:uniqueId val="{00000006-DA5C-4E04-A24F-EBD0272310AA}"/>
            </c:ext>
          </c:extLst>
        </c:ser>
        <c:ser>
          <c:idx val="5"/>
          <c:order val="7"/>
          <c:tx>
            <c:strRef>
              <c:f>'[Clean Power 2030 Data Workbook_V001.xlsx]CP.17'!$M$14</c:f>
              <c:strCache>
                <c:ptCount val="1"/>
                <c:pt idx="0">
                  <c:v>Interconnectors</c:v>
                </c:pt>
              </c:strCache>
            </c:strRef>
          </c:tx>
          <c:spPr>
            <a:solidFill>
              <a:schemeClr val="accent6"/>
            </a:solidFill>
            <a:ln>
              <a:noFill/>
            </a:ln>
            <a:effectLst/>
          </c:spPr>
          <c:invertIfNegative val="0"/>
          <c:cat>
            <c:multiLvlStrRef>
              <c:f>'[Clean Power 2030 Data Workbook_V001.xlsx]CP.17'!$P$6:$R$7</c:f>
              <c:multiLvlStrCache>
                <c:ptCount val="3"/>
                <c:lvl>
                  <c:pt idx="0">
                    <c:v>Installed</c:v>
                  </c:pt>
                  <c:pt idx="1">
                    <c:v>Further Flex and Renewables</c:v>
                  </c:pt>
                  <c:pt idx="2">
                    <c:v>New Dispatch</c:v>
                  </c:pt>
                </c:lvl>
                <c:lvl>
                  <c:pt idx="0">
                    <c:v>2023</c:v>
                  </c:pt>
                  <c:pt idx="1">
                    <c:v>2030</c:v>
                  </c:pt>
                </c:lvl>
              </c:multiLvlStrCache>
            </c:multiLvlStrRef>
          </c:cat>
          <c:val>
            <c:numRef>
              <c:f>'[Clean Power 2030 Data Workbook_V001.xlsx]CP.17'!$P$14:$R$14</c:f>
              <c:numCache>
                <c:formatCode>0.0</c:formatCode>
                <c:ptCount val="3"/>
                <c:pt idx="0">
                  <c:v>8.4</c:v>
                </c:pt>
                <c:pt idx="1">
                  <c:v>12.450000000000001</c:v>
                </c:pt>
                <c:pt idx="2">
                  <c:v>12.450000000000001</c:v>
                </c:pt>
              </c:numCache>
            </c:numRef>
          </c:val>
          <c:extLst>
            <c:ext xmlns:c16="http://schemas.microsoft.com/office/drawing/2014/chart" uri="{C3380CC4-5D6E-409C-BE32-E72D297353CC}">
              <c16:uniqueId val="{00000007-DA5C-4E04-A24F-EBD0272310AA}"/>
            </c:ext>
          </c:extLst>
        </c:ser>
        <c:ser>
          <c:idx val="6"/>
          <c:order val="8"/>
          <c:tx>
            <c:strRef>
              <c:f>'[Clean Power 2030 Data Workbook_V001.xlsx]CP.17'!$M$15</c:f>
              <c:strCache>
                <c:ptCount val="1"/>
                <c:pt idx="0">
                  <c:v>Other Renewables</c:v>
                </c:pt>
              </c:strCache>
            </c:strRef>
          </c:tx>
          <c:spPr>
            <a:solidFill>
              <a:schemeClr val="accent6">
                <a:lumMod val="60000"/>
                <a:lumOff val="40000"/>
              </a:schemeClr>
            </a:solidFill>
            <a:ln>
              <a:noFill/>
            </a:ln>
            <a:effectLst/>
          </c:spPr>
          <c:invertIfNegative val="0"/>
          <c:cat>
            <c:multiLvlStrRef>
              <c:f>'[Clean Power 2030 Data Workbook_V001.xlsx]CP.17'!$P$6:$R$7</c:f>
              <c:multiLvlStrCache>
                <c:ptCount val="3"/>
                <c:lvl>
                  <c:pt idx="0">
                    <c:v>Installed</c:v>
                  </c:pt>
                  <c:pt idx="1">
                    <c:v>Further Flex and Renewables</c:v>
                  </c:pt>
                  <c:pt idx="2">
                    <c:v>New Dispatch</c:v>
                  </c:pt>
                </c:lvl>
                <c:lvl>
                  <c:pt idx="0">
                    <c:v>2023</c:v>
                  </c:pt>
                  <c:pt idx="1">
                    <c:v>2030</c:v>
                  </c:pt>
                </c:lvl>
              </c:multiLvlStrCache>
            </c:multiLvlStrRef>
          </c:cat>
          <c:val>
            <c:numRef>
              <c:f>'[Clean Power 2030 Data Workbook_V001.xlsx]CP.17'!$P$15:$R$15</c:f>
              <c:numCache>
                <c:formatCode>0.0</c:formatCode>
                <c:ptCount val="3"/>
                <c:pt idx="0">
                  <c:v>4.7424929999999996</c:v>
                </c:pt>
                <c:pt idx="1">
                  <c:v>5.7042200000000012</c:v>
                </c:pt>
                <c:pt idx="2">
                  <c:v>5.7042200000000012</c:v>
                </c:pt>
              </c:numCache>
            </c:numRef>
          </c:val>
          <c:extLst>
            <c:ext xmlns:c16="http://schemas.microsoft.com/office/drawing/2014/chart" uri="{C3380CC4-5D6E-409C-BE32-E72D297353CC}">
              <c16:uniqueId val="{00000008-DA5C-4E04-A24F-EBD0272310AA}"/>
            </c:ext>
          </c:extLst>
        </c:ser>
        <c:ser>
          <c:idx val="7"/>
          <c:order val="9"/>
          <c:tx>
            <c:strRef>
              <c:f>'[Clean Power 2030 Data Workbook_V001.xlsx]CP.17'!$M$16</c:f>
              <c:strCache>
                <c:ptCount val="1"/>
                <c:pt idx="0">
                  <c:v>Low carbon dispatchable</c:v>
                </c:pt>
              </c:strCache>
            </c:strRef>
          </c:tx>
          <c:spPr>
            <a:solidFill>
              <a:schemeClr val="accent5"/>
            </a:solidFill>
            <a:ln>
              <a:noFill/>
            </a:ln>
            <a:effectLst/>
          </c:spPr>
          <c:invertIfNegative val="0"/>
          <c:cat>
            <c:multiLvlStrRef>
              <c:f>'[Clean Power 2030 Data Workbook_V001.xlsx]CP.17'!$P$6:$R$7</c:f>
              <c:multiLvlStrCache>
                <c:ptCount val="3"/>
                <c:lvl>
                  <c:pt idx="0">
                    <c:v>Installed</c:v>
                  </c:pt>
                  <c:pt idx="1">
                    <c:v>Further Flex and Renewables</c:v>
                  </c:pt>
                  <c:pt idx="2">
                    <c:v>New Dispatch</c:v>
                  </c:pt>
                </c:lvl>
                <c:lvl>
                  <c:pt idx="0">
                    <c:v>2023</c:v>
                  </c:pt>
                  <c:pt idx="1">
                    <c:v>2030</c:v>
                  </c:pt>
                </c:lvl>
              </c:multiLvlStrCache>
            </c:multiLvlStrRef>
          </c:cat>
          <c:val>
            <c:numRef>
              <c:f>'[Clean Power 2030 Data Workbook_V001.xlsx]CP.17'!$P$16:$R$16</c:f>
              <c:numCache>
                <c:formatCode>0.0</c:formatCode>
                <c:ptCount val="3"/>
                <c:pt idx="0">
                  <c:v>0</c:v>
                </c:pt>
                <c:pt idx="1">
                  <c:v>0.27609999999999996</c:v>
                </c:pt>
                <c:pt idx="2">
                  <c:v>2.6861000000000002</c:v>
                </c:pt>
              </c:numCache>
            </c:numRef>
          </c:val>
          <c:extLst>
            <c:ext xmlns:c16="http://schemas.microsoft.com/office/drawing/2014/chart" uri="{C3380CC4-5D6E-409C-BE32-E72D297353CC}">
              <c16:uniqueId val="{00000009-DA5C-4E04-A24F-EBD0272310AA}"/>
            </c:ext>
          </c:extLst>
        </c:ser>
        <c:ser>
          <c:idx val="9"/>
          <c:order val="10"/>
          <c:tx>
            <c:strRef>
              <c:f>'[Clean Power 2030 Data Workbook_V001.xlsx]CP.17'!$M$18</c:f>
              <c:strCache>
                <c:ptCount val="1"/>
                <c:pt idx="0">
                  <c:v>Fossil fuel</c:v>
                </c:pt>
              </c:strCache>
            </c:strRef>
          </c:tx>
          <c:spPr>
            <a:solidFill>
              <a:schemeClr val="tx1"/>
            </a:solidFill>
            <a:ln>
              <a:noFill/>
            </a:ln>
            <a:effectLst/>
          </c:spPr>
          <c:invertIfNegative val="0"/>
          <c:cat>
            <c:multiLvlStrRef>
              <c:f>'[Clean Power 2030 Data Workbook_V001.xlsx]CP.17'!$P$6:$R$7</c:f>
              <c:multiLvlStrCache>
                <c:ptCount val="3"/>
                <c:lvl>
                  <c:pt idx="0">
                    <c:v>Installed</c:v>
                  </c:pt>
                  <c:pt idx="1">
                    <c:v>Further Flex and Renewables</c:v>
                  </c:pt>
                  <c:pt idx="2">
                    <c:v>New Dispatch</c:v>
                  </c:pt>
                </c:lvl>
                <c:lvl>
                  <c:pt idx="0">
                    <c:v>2023</c:v>
                  </c:pt>
                  <c:pt idx="1">
                    <c:v>2030</c:v>
                  </c:pt>
                </c:lvl>
              </c:multiLvlStrCache>
            </c:multiLvlStrRef>
          </c:cat>
          <c:val>
            <c:numRef>
              <c:f>'[Clean Power 2030 Data Workbook_V001.xlsx]CP.17'!$P$18:$R$18</c:f>
              <c:numCache>
                <c:formatCode>0.0</c:formatCode>
                <c:ptCount val="3"/>
                <c:pt idx="0">
                  <c:v>41.22693000000001</c:v>
                </c:pt>
                <c:pt idx="1">
                  <c:v>35.165799999999997</c:v>
                </c:pt>
                <c:pt idx="2">
                  <c:v>35.165799999999997</c:v>
                </c:pt>
              </c:numCache>
            </c:numRef>
          </c:val>
          <c:extLst>
            <c:ext xmlns:c16="http://schemas.microsoft.com/office/drawing/2014/chart" uri="{C3380CC4-5D6E-409C-BE32-E72D297353CC}">
              <c16:uniqueId val="{0000000A-DA5C-4E04-A24F-EBD0272310AA}"/>
            </c:ext>
          </c:extLst>
        </c:ser>
        <c:dLbls>
          <c:showLegendKey val="0"/>
          <c:showVal val="0"/>
          <c:showCatName val="0"/>
          <c:showSerName val="0"/>
          <c:showPercent val="0"/>
          <c:showBubbleSize val="0"/>
        </c:dLbls>
        <c:gapWidth val="150"/>
        <c:overlap val="100"/>
        <c:axId val="41372032"/>
        <c:axId val="41367328"/>
        <c:extLst/>
      </c:barChart>
      <c:catAx>
        <c:axId val="41372032"/>
        <c:scaling>
          <c:orientation val="minMax"/>
        </c:scaling>
        <c:delete val="0"/>
        <c:axPos val="b"/>
        <c:numFmt formatCode="General" sourceLinked="1"/>
        <c:majorTickMark val="out"/>
        <c:minorTickMark val="none"/>
        <c:tickLblPos val="nextTo"/>
        <c:spPr>
          <a:noFill/>
          <a:ln w="15875" cap="flat" cmpd="sng" algn="ctr">
            <a:solidFill>
              <a:srgbClr val="181818"/>
            </a:solidFill>
            <a:prstDash val="solid"/>
            <a:round/>
            <a:headEnd type="none"/>
          </a:ln>
          <a:effectLst/>
        </c:spPr>
        <c:txPr>
          <a:bodyPr rot="0" spcFirstLastPara="1" vertOverflow="ellipsis" wrap="square" anchor="ctr" anchorCtr="1"/>
          <a:lstStyle/>
          <a:p>
            <a:pPr>
              <a:defRPr lang="en-GB" sz="1100" b="0" i="0" u="none" strike="noStrike" kern="1200" spc="0" baseline="0">
                <a:solidFill>
                  <a:sysClr val="windowText" lastClr="000000"/>
                </a:solidFill>
                <a:latin typeface="+mn-lt"/>
                <a:ea typeface="+mn-ea"/>
                <a:cs typeface="+mn-cs"/>
              </a:defRPr>
            </a:pPr>
            <a:endParaRPr lang="en-US"/>
          </a:p>
        </c:txPr>
        <c:crossAx val="41367328"/>
        <c:crosses val="autoZero"/>
        <c:auto val="1"/>
        <c:lblAlgn val="ctr"/>
        <c:lblOffset val="0"/>
        <c:noMultiLvlLbl val="0"/>
      </c:catAx>
      <c:valAx>
        <c:axId val="41367328"/>
        <c:scaling>
          <c:orientation val="minMax"/>
        </c:scaling>
        <c:delete val="0"/>
        <c:axPos val="l"/>
        <c:majorGridlines>
          <c:spPr>
            <a:ln w="9525" cap="flat" cmpd="sng" algn="ctr">
              <a:solidFill>
                <a:sysClr val="window" lastClr="FFFFFF">
                  <a:lumMod val="85000"/>
                </a:sysClr>
              </a:solidFill>
              <a:prstDash val="solid"/>
              <a:round/>
            </a:ln>
            <a:effectLst/>
          </c:spPr>
        </c:majorGridlines>
        <c:title>
          <c:tx>
            <c:rich>
              <a:bodyPr rot="0" spcFirstLastPara="1" vertOverflow="ellipsis" wrap="square" anchor="ctr" anchorCtr="1"/>
              <a:lstStyle/>
              <a:p>
                <a:pPr algn="l" rtl="0">
                  <a:defRPr lang="en-GB" sz="1100" b="0" i="0" u="none" strike="noStrike" kern="1200" spc="0" baseline="0">
                    <a:solidFill>
                      <a:sysClr val="windowText" lastClr="000000"/>
                    </a:solidFill>
                    <a:latin typeface="+mn-lt"/>
                    <a:ea typeface="+mn-ea"/>
                    <a:cs typeface="+mn-cs"/>
                  </a:defRPr>
                </a:pPr>
                <a:r>
                  <a:rPr lang="en-US" sz="1100"/>
                  <a:t>Installed </a:t>
                </a:r>
                <a:br>
                  <a:rPr lang="en-US" sz="1100"/>
                </a:br>
                <a:r>
                  <a:rPr lang="en-US" sz="1100"/>
                  <a:t>capacity</a:t>
                </a:r>
                <a:br>
                  <a:rPr lang="en-US" sz="1100"/>
                </a:br>
                <a:r>
                  <a:rPr lang="en-US" sz="1100"/>
                  <a:t>(GW)</a:t>
                </a:r>
              </a:p>
            </c:rich>
          </c:tx>
          <c:layout>
            <c:manualLayout>
              <c:xMode val="edge"/>
              <c:yMode val="edge"/>
              <c:x val="1.2232378552946789E-3"/>
              <c:y val="0.44279632993228252"/>
            </c:manualLayout>
          </c:layout>
          <c:overlay val="0"/>
          <c:spPr>
            <a:noFill/>
            <a:ln>
              <a:noFill/>
            </a:ln>
            <a:effectLst/>
          </c:spPr>
          <c:txPr>
            <a:bodyPr rot="0" spcFirstLastPara="1" vertOverflow="ellipsis" wrap="square" anchor="ctr" anchorCtr="1"/>
            <a:lstStyle/>
            <a:p>
              <a:pPr algn="l" rtl="0">
                <a:defRPr lang="en-GB" sz="1100" b="0" i="0" u="none" strike="noStrike" kern="1200" spc="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w="22225">
            <a:noFill/>
          </a:ln>
          <a:effectLst/>
        </c:spPr>
        <c:txPr>
          <a:bodyPr rot="-60000000" spcFirstLastPara="1" vertOverflow="ellipsis" vert="horz" wrap="square" anchor="ctr" anchorCtr="1"/>
          <a:lstStyle/>
          <a:p>
            <a:pPr>
              <a:defRPr lang="en-GB" sz="1100" b="0" i="0" u="none" strike="noStrike" kern="1200" spc="0" baseline="0">
                <a:solidFill>
                  <a:sysClr val="windowText" lastClr="000000"/>
                </a:solidFill>
                <a:latin typeface="+mn-lt"/>
                <a:ea typeface="+mn-ea"/>
                <a:cs typeface="+mn-cs"/>
              </a:defRPr>
            </a:pPr>
            <a:endParaRPr lang="en-US"/>
          </a:p>
        </c:txPr>
        <c:crossAx val="41372032"/>
        <c:crosses val="autoZero"/>
        <c:crossBetween val="between"/>
        <c:majorUnit val="20"/>
      </c:valAx>
      <c:spPr>
        <a:noFill/>
        <a:ln w="38100" cap="flat">
          <a:noFill/>
          <a:miter lim="800000"/>
        </a:ln>
        <a:effectLst/>
      </c:spPr>
    </c:plotArea>
    <c:legend>
      <c:legendPos val="b"/>
      <c:layout>
        <c:manualLayout>
          <c:xMode val="edge"/>
          <c:yMode val="edge"/>
          <c:x val="0.78577740216054293"/>
          <c:y val="3.336953570458865E-2"/>
          <c:w val="0.19649610483067936"/>
          <c:h val="0.83608320511660184"/>
        </c:manualLayout>
      </c:layout>
      <c:overlay val="0"/>
      <c:spPr>
        <a:noFill/>
        <a:ln>
          <a:noFill/>
        </a:ln>
        <a:effectLst/>
      </c:spPr>
      <c:txPr>
        <a:bodyPr rot="0" spcFirstLastPara="1" vertOverflow="ellipsis" vert="horz" wrap="square" anchor="ctr" anchorCtr="1"/>
        <a:lstStyle/>
        <a:p>
          <a:pPr algn="ctr" rtl="0">
            <a:defRPr lang="en-GB" sz="1100" b="0" i="0" u="none" strike="noStrike" kern="1200" spc="0" baseline="0">
              <a:solidFill>
                <a:sysClr val="windowText" lastClr="000000"/>
              </a:solidFill>
              <a:latin typeface="+mn-lt"/>
              <a:ea typeface="+mn-ea"/>
              <a:cs typeface="+mn-cs"/>
            </a:defRPr>
          </a:pPr>
          <a:endParaRPr lang="en-US"/>
        </a:p>
      </c:txPr>
    </c:legend>
    <c:plotVisOnly val="1"/>
    <c:dispBlanksAs val="gap"/>
    <c:showDLblsOverMax val="0"/>
    <c:extLst/>
  </c:chart>
  <c:spPr>
    <a:solidFill>
      <a:srgbClr val="F2F2F2"/>
    </a:solidFill>
    <a:ln w="6350" cap="flat" cmpd="sng" algn="ctr">
      <a:solidFill>
        <a:schemeClr val="tx1"/>
      </a:solidFill>
      <a:round/>
    </a:ln>
    <a:effectLst/>
  </c:spPr>
  <c:txPr>
    <a:bodyPr/>
    <a:lstStyle/>
    <a:p>
      <a:pPr algn="ctr" rtl="0">
        <a:defRPr lang="en-GB" sz="1400" b="0" i="0" u="none" strike="noStrike" kern="1200" spc="0" baseline="0">
          <a:solidFill>
            <a:sysClr val="windowText" lastClr="000000"/>
          </a:solidFill>
          <a:latin typeface="+mn-lt"/>
          <a:ea typeface="+mn-ea"/>
          <a:cs typeface="+mn-cs"/>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0.01967</cdr:x>
      <cdr:y>0.9117</cdr:y>
    </cdr:from>
    <cdr:to>
      <cdr:x>0.75132</cdr:x>
      <cdr:y>0.99683</cdr:y>
    </cdr:to>
    <cdr:sp macro="" textlink="">
      <cdr:nvSpPr>
        <cdr:cNvPr id="2" name="TextBox 1">
          <a:extLst xmlns:a="http://schemas.openxmlformats.org/drawingml/2006/main">
            <a:ext uri="{FF2B5EF4-FFF2-40B4-BE49-F238E27FC236}">
              <a16:creationId xmlns:a16="http://schemas.microsoft.com/office/drawing/2014/main" id="{47D74005-9975-911A-D0F9-DCE0CD40E993}"/>
            </a:ext>
          </a:extLst>
        </cdr:cNvPr>
        <cdr:cNvSpPr txBox="1"/>
      </cdr:nvSpPr>
      <cdr:spPr>
        <a:xfrm xmlns:a="http://schemas.openxmlformats.org/drawingml/2006/main">
          <a:off x="117535" y="7677150"/>
          <a:ext cx="4371865" cy="71689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000">
              <a:solidFill>
                <a:schemeClr val="tx1"/>
              </a:solidFill>
              <a:latin typeface="+mn-lt"/>
              <a:ea typeface="+mn-ea"/>
              <a:cs typeface="+mn-cs"/>
            </a:rPr>
            <a:t>Source: </a:t>
          </a:r>
          <a:r>
            <a:rPr lang="en-GB" sz="1000" i="1">
              <a:solidFill>
                <a:schemeClr val="tx1"/>
              </a:solidFill>
              <a:latin typeface="+mn-lt"/>
              <a:ea typeface="+mn-ea"/>
              <a:cs typeface="+mn-cs"/>
            </a:rPr>
            <a:t>NESO,</a:t>
          </a:r>
          <a:r>
            <a:rPr lang="en-GB" sz="1000" i="1" baseline="0">
              <a:solidFill>
                <a:schemeClr val="tx1"/>
              </a:solidFill>
              <a:latin typeface="+mn-lt"/>
              <a:ea typeface="+mn-ea"/>
              <a:cs typeface="+mn-cs"/>
            </a:rPr>
            <a:t> CP2030 (5 November 2024)</a:t>
          </a:r>
        </a:p>
        <a:p xmlns:a="http://schemas.openxmlformats.org/drawingml/2006/main">
          <a:r>
            <a:rPr lang="en-GB" sz="1000" i="0" baseline="0">
              <a:solidFill>
                <a:schemeClr val="tx1"/>
              </a:solidFill>
              <a:latin typeface="+mn-lt"/>
              <a:ea typeface="+mn-ea"/>
              <a:cs typeface="+mn-cs"/>
            </a:rPr>
            <a:t>Note: '</a:t>
          </a:r>
          <a:r>
            <a:rPr lang="en-GB" sz="1000" i="1" baseline="0">
              <a:solidFill>
                <a:schemeClr val="tx1"/>
              </a:solidFill>
              <a:latin typeface="+mn-lt"/>
              <a:ea typeface="+mn-ea"/>
              <a:cs typeface="+mn-cs"/>
            </a:rPr>
            <a:t>Other renewables' includes hydro, marine and energy from waste. </a:t>
          </a:r>
        </a:p>
        <a:p xmlns:a="http://schemas.openxmlformats.org/drawingml/2006/main">
          <a:r>
            <a:rPr lang="en-GB" sz="1000" i="1" baseline="0">
              <a:solidFill>
                <a:schemeClr val="tx1"/>
              </a:solidFill>
              <a:latin typeface="+mn-lt"/>
              <a:ea typeface="+mn-ea"/>
              <a:cs typeface="+mn-cs"/>
            </a:rPr>
            <a:t>'Low carbon dispatchable' includes bioenergy, gas with CCS and hydrogen</a:t>
          </a:r>
        </a:p>
        <a:p xmlns:a="http://schemas.openxmlformats.org/drawingml/2006/main">
          <a:r>
            <a:rPr lang="en-GB" sz="1000" i="1" baseline="0">
              <a:solidFill>
                <a:schemeClr val="tx1"/>
              </a:solidFill>
              <a:latin typeface="+mn-lt"/>
              <a:ea typeface="+mn-ea"/>
              <a:cs typeface="+mn-cs"/>
            </a:rPr>
            <a:t>LDES - Long duration energy storage</a:t>
          </a:r>
        </a:p>
      </cdr:txBody>
    </cdr:sp>
  </cdr:relSizeAnchor>
  <cdr:relSizeAnchor xmlns:cdr="http://schemas.openxmlformats.org/drawingml/2006/chartDrawing">
    <cdr:from>
      <cdr:x>0.76243</cdr:x>
      <cdr:y>0.92348</cdr:y>
    </cdr:from>
    <cdr:to>
      <cdr:x>1</cdr:x>
      <cdr:y>1</cdr:y>
    </cdr:to>
    <cdr:pic>
      <cdr:nvPicPr>
        <cdr:cNvPr id="3" name="Picture 2">
          <a:extLst xmlns:a="http://schemas.openxmlformats.org/drawingml/2006/main">
            <a:ext uri="{FF2B5EF4-FFF2-40B4-BE49-F238E27FC236}">
              <a16:creationId xmlns:a16="http://schemas.microsoft.com/office/drawing/2014/main" id="{5760A00E-371B-1444-C3E0-599CD686EB6A}"/>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4555786" y="7776375"/>
          <a:ext cx="1419564" cy="644359"/>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65462EB4078E4C94A4D593F0FB5ABD" ma:contentTypeVersion="19" ma:contentTypeDescription="Create a new document." ma:contentTypeScope="" ma:versionID="92348269779a38c5dbaaace77990f374">
  <xsd:schema xmlns:xsd="http://www.w3.org/2001/XMLSchema" xmlns:xs="http://www.w3.org/2001/XMLSchema" xmlns:p="http://schemas.microsoft.com/office/2006/metadata/properties" xmlns:ns2="0d59e599-35bd-4039-b480-078e16f93b9f" xmlns:ns3="b32135bc-b2ec-415f-b9aa-be28010955f0" targetNamespace="http://schemas.microsoft.com/office/2006/metadata/properties" ma:root="true" ma:fieldsID="bab08e3daea91eedcbc1e7f0cc97217e" ns2:_="" ns3:_="">
    <xsd:import namespace="0d59e599-35bd-4039-b480-078e16f93b9f"/>
    <xsd:import namespace="b32135bc-b2ec-415f-b9aa-be28010955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9e599-35bd-4039-b480-078e16f93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c155d2-d769-42c7-a61f-a8f7d1895d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2135bc-b2ec-415f-b9aa-be28010955f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4d3b9e-375e-44dc-98d8-9ba71a7020d5}" ma:internalName="TaxCatchAll" ma:showField="CatchAllData" ma:web="b32135bc-b2ec-415f-b9aa-be28010955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59e599-35bd-4039-b480-078e16f93b9f">
      <Terms xmlns="http://schemas.microsoft.com/office/infopath/2007/PartnerControls"/>
    </lcf76f155ced4ddcb4097134ff3c332f>
    <TaxCatchAll xmlns="b32135bc-b2ec-415f-b9aa-be28010955f0" xsi:nil="true"/>
  </documentManagement>
</p:properties>
</file>

<file path=customXml/itemProps1.xml><?xml version="1.0" encoding="utf-8"?>
<ds:datastoreItem xmlns:ds="http://schemas.openxmlformats.org/officeDocument/2006/customXml" ds:itemID="{77EEDC3A-F5E2-490A-89B6-51AC88B3F143}">
  <ds:schemaRefs>
    <ds:schemaRef ds:uri="http://schemas.microsoft.com/sharepoint/v3/contenttype/forms"/>
  </ds:schemaRefs>
</ds:datastoreItem>
</file>

<file path=customXml/itemProps2.xml><?xml version="1.0" encoding="utf-8"?>
<ds:datastoreItem xmlns:ds="http://schemas.openxmlformats.org/officeDocument/2006/customXml" ds:itemID="{001E2323-CA3F-4C1B-8564-658C1DF2D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9e599-35bd-4039-b480-078e16f93b9f"/>
    <ds:schemaRef ds:uri="b32135bc-b2ec-415f-b9aa-be2801095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AC7D43-B3DC-4EAE-A5AF-114B773FADFD}">
  <ds:schemaRefs>
    <ds:schemaRef ds:uri="http://schemas.openxmlformats.org/officeDocument/2006/bibliography"/>
  </ds:schemaRefs>
</ds:datastoreItem>
</file>

<file path=customXml/itemProps4.xml><?xml version="1.0" encoding="utf-8"?>
<ds:datastoreItem xmlns:ds="http://schemas.openxmlformats.org/officeDocument/2006/customXml" ds:itemID="{18C46A48-F06A-4E9D-AE6E-CBEA4EF3186F}">
  <ds:schemaRefs>
    <ds:schemaRef ds:uri="http://schemas.microsoft.com/office/2006/metadata/properties"/>
    <ds:schemaRef ds:uri="http://schemas.microsoft.com/office/infopath/2007/PartnerControls"/>
    <ds:schemaRef ds:uri="0d59e599-35bd-4039-b480-078e16f93b9f"/>
    <ds:schemaRef ds:uri="b32135bc-b2ec-415f-b9aa-be28010955f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11500</Words>
  <Characters>65555</Characters>
  <Application>Microsoft Office Word</Application>
  <DocSecurity>0</DocSecurity>
  <Lines>546</Lines>
  <Paragraphs>153</Paragraphs>
  <ScaleCrop>false</ScaleCrop>
  <Company/>
  <LinksUpToDate>false</LinksUpToDate>
  <CharactersWithSpaces>76902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Slade</dc:creator>
  <cp:keywords/>
  <dc:description/>
  <cp:lastModifiedBy>Andrew Pilkington</cp:lastModifiedBy>
  <cp:revision>3</cp:revision>
  <dcterms:created xsi:type="dcterms:W3CDTF">2025-05-27T08:11:00Z</dcterms:created>
  <dcterms:modified xsi:type="dcterms:W3CDTF">2025-05-27T08:17:00Z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0x0101009465462EB4078E4C94A4D593F0FB5ABD</vt:lpwstr>
  </property>
  <property fmtid="{D5CDD505-2E9C-101B-9397-08002B2CF9AE}" pid="3" name="MediaServiceImageTags">
    <vt:lpwstr/>
  </property>
</Properties>
</file>