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ABC9" w14:textId="3458D9E0" w:rsidR="00BB3DBB" w:rsidRPr="00D7183B" w:rsidRDefault="00BB3DBB" w:rsidP="00BB3DBB">
      <w:pPr>
        <w:pStyle w:val="Heading3"/>
        <w:rPr>
          <w:rFonts w:ascii="Arial" w:hAnsi="Arial" w:cs="Arial"/>
          <w:b/>
          <w:bCs/>
          <w:color w:val="074F6A" w:themeColor="accent4" w:themeShade="80"/>
          <w:sz w:val="26"/>
          <w:szCs w:val="26"/>
        </w:rPr>
      </w:pPr>
    </w:p>
    <w:p w14:paraId="4F1E238C" w14:textId="77777777" w:rsidR="00BB3DBB" w:rsidRPr="00D7183B" w:rsidRDefault="00BB3DBB" w:rsidP="00BB3DBB">
      <w:pPr>
        <w:pStyle w:val="Heading3"/>
        <w:spacing w:line="240" w:lineRule="auto"/>
        <w:jc w:val="center"/>
        <w:rPr>
          <w:rFonts w:ascii="Arial" w:hAnsi="Arial" w:cs="Arial"/>
          <w:b/>
          <w:bCs/>
          <w:color w:val="074F6A" w:themeColor="accent4" w:themeShade="80"/>
          <w:sz w:val="26"/>
          <w:szCs w:val="26"/>
        </w:rPr>
      </w:pPr>
      <w:r w:rsidRPr="00D7183B">
        <w:rPr>
          <w:rFonts w:ascii="Arial" w:hAnsi="Arial" w:cs="Arial"/>
          <w:b/>
          <w:bCs/>
          <w:color w:val="074F6A" w:themeColor="accent4" w:themeShade="80"/>
          <w:sz w:val="26"/>
          <w:szCs w:val="26"/>
        </w:rPr>
        <w:t>Planning Aid England (PAE) Volunteer CPD Day</w:t>
      </w:r>
    </w:p>
    <w:p w14:paraId="5246906B" w14:textId="77777777" w:rsidR="00BB3DBB" w:rsidRPr="00D7183B" w:rsidRDefault="00BB3DBB" w:rsidP="00BB3DBB">
      <w:pPr>
        <w:pStyle w:val="Heading3"/>
        <w:spacing w:line="240" w:lineRule="auto"/>
        <w:jc w:val="center"/>
        <w:rPr>
          <w:rFonts w:ascii="Arial" w:hAnsi="Arial" w:cs="Arial"/>
          <w:b/>
          <w:bCs/>
          <w:color w:val="074F6A" w:themeColor="accent4" w:themeShade="80"/>
          <w:sz w:val="22"/>
          <w:szCs w:val="22"/>
        </w:rPr>
      </w:pPr>
      <w:r w:rsidRPr="00D7183B">
        <w:rPr>
          <w:rFonts w:ascii="Arial" w:hAnsi="Arial" w:cs="Arial"/>
          <w:b/>
          <w:bCs/>
          <w:color w:val="074F6A" w:themeColor="accent4" w:themeShade="80"/>
          <w:sz w:val="22"/>
          <w:szCs w:val="22"/>
        </w:rPr>
        <w:t>10am – 4pm, 7 Oct 2025</w:t>
      </w:r>
    </w:p>
    <w:p w14:paraId="781F3B8C" w14:textId="77777777" w:rsidR="00BB3DBB" w:rsidRPr="00D7183B" w:rsidRDefault="00BB3DBB" w:rsidP="00BB3DBB">
      <w:pPr>
        <w:pStyle w:val="Heading3"/>
        <w:spacing w:line="240" w:lineRule="auto"/>
        <w:jc w:val="center"/>
        <w:rPr>
          <w:rFonts w:ascii="Arial" w:hAnsi="Arial" w:cs="Arial"/>
          <w:b/>
          <w:bCs/>
          <w:color w:val="074F6A" w:themeColor="accent4" w:themeShade="80"/>
          <w:sz w:val="22"/>
          <w:szCs w:val="22"/>
        </w:rPr>
      </w:pPr>
      <w:r w:rsidRPr="00D7183B">
        <w:rPr>
          <w:rFonts w:ascii="Arial" w:hAnsi="Arial" w:cs="Arial"/>
          <w:b/>
          <w:bCs/>
          <w:color w:val="074F6A" w:themeColor="accent4" w:themeShade="80"/>
          <w:sz w:val="22"/>
          <w:szCs w:val="22"/>
        </w:rPr>
        <w:t xml:space="preserve"> The Exchange, 3 Centenary Square, Birmingham B1 2DR</w:t>
      </w:r>
    </w:p>
    <w:p w14:paraId="613C7287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</w:p>
    <w:p w14:paraId="67028ADE" w14:textId="77777777" w:rsidR="00BB3DBB" w:rsidRPr="00D7183B" w:rsidRDefault="00BB3DBB" w:rsidP="00BB3DBB">
      <w:pPr>
        <w:rPr>
          <w:rFonts w:ascii="Arial" w:hAnsi="Arial" w:cs="Arial"/>
          <w:b/>
          <w:bCs/>
          <w:color w:val="074F6A" w:themeColor="accent4" w:themeShade="80"/>
        </w:rPr>
      </w:pPr>
      <w:r w:rsidRPr="00D7183B">
        <w:rPr>
          <w:rFonts w:ascii="Arial" w:hAnsi="Arial" w:cs="Arial"/>
          <w:b/>
          <w:bCs/>
          <w:color w:val="074F6A" w:themeColor="accent4" w:themeShade="80"/>
        </w:rPr>
        <w:t xml:space="preserve">Theme:  </w:t>
      </w:r>
      <w:r w:rsidRPr="00D7183B">
        <w:rPr>
          <w:rFonts w:ascii="Arial" w:hAnsi="Arial" w:cs="Arial"/>
          <w:color w:val="074F6A" w:themeColor="accent4" w:themeShade="80"/>
        </w:rPr>
        <w:t xml:space="preserve">Delivering inclusive community engagement and outreach: challenges and opportunities </w:t>
      </w:r>
    </w:p>
    <w:p w14:paraId="67966114" w14:textId="77777777" w:rsidR="00BB3DBB" w:rsidRPr="00D7183B" w:rsidRDefault="00BB3DBB" w:rsidP="00BB3DBB">
      <w:pPr>
        <w:rPr>
          <w:rFonts w:ascii="Arial" w:hAnsi="Arial" w:cs="Arial"/>
          <w:b/>
          <w:bCs/>
          <w:color w:val="074F6A" w:themeColor="accent4" w:themeShade="80"/>
        </w:rPr>
      </w:pPr>
      <w:r w:rsidRPr="00D7183B">
        <w:rPr>
          <w:rFonts w:ascii="Arial" w:hAnsi="Arial" w:cs="Arial"/>
          <w:b/>
          <w:bCs/>
          <w:color w:val="074F6A" w:themeColor="accent4" w:themeShade="80"/>
        </w:rPr>
        <w:t>Draft agenda</w:t>
      </w:r>
    </w:p>
    <w:p w14:paraId="0F1734D4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>10:00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 xml:space="preserve">Arrivals and refreshments </w:t>
      </w:r>
    </w:p>
    <w:p w14:paraId="08526676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>10:30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>Welcome and aims of the day (Holly McLaren, PAE Manager)</w:t>
      </w:r>
    </w:p>
    <w:p w14:paraId="5C316E3E" w14:textId="77777777" w:rsidR="00BB3DBB" w:rsidRPr="00D7183B" w:rsidRDefault="00BB3DBB" w:rsidP="00BB3DBB">
      <w:pPr>
        <w:ind w:left="1440" w:hanging="1440"/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10:40 </w:t>
      </w:r>
      <w:r w:rsidRPr="00D7183B">
        <w:rPr>
          <w:rFonts w:ascii="Arial" w:hAnsi="Arial" w:cs="Arial"/>
          <w:color w:val="074F6A" w:themeColor="accent4" w:themeShade="80"/>
        </w:rPr>
        <w:tab/>
        <w:t xml:space="preserve">RTPI Strategic Plan 2025-2030 and key PAE updates (Mark Hand, Director of Wales, Northern Ireland and PAE) </w:t>
      </w:r>
    </w:p>
    <w:p w14:paraId="6F5F3542" w14:textId="77777777" w:rsidR="00BB3DBB" w:rsidRPr="00D7183B" w:rsidRDefault="00BB3DBB" w:rsidP="00BB3DBB">
      <w:pPr>
        <w:ind w:left="1440" w:hanging="1440"/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11:05 </w:t>
      </w:r>
      <w:r w:rsidRPr="00D7183B">
        <w:rPr>
          <w:rFonts w:ascii="Arial" w:hAnsi="Arial" w:cs="Arial"/>
          <w:color w:val="074F6A" w:themeColor="accent4" w:themeShade="80"/>
        </w:rPr>
        <w:tab/>
        <w:t>Engaging diverse urban communities in planning (Carolyn Williams, Planning Policy Manager, Preston City Council)</w:t>
      </w:r>
    </w:p>
    <w:p w14:paraId="328B2508" w14:textId="77777777" w:rsidR="00BB3DBB" w:rsidRPr="00D7183B" w:rsidRDefault="00BB3DBB" w:rsidP="00BB3DBB">
      <w:pPr>
        <w:ind w:left="1440" w:hanging="1440"/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11:30 </w:t>
      </w:r>
      <w:r w:rsidRPr="00D7183B">
        <w:rPr>
          <w:rFonts w:ascii="Arial" w:hAnsi="Arial" w:cs="Arial"/>
          <w:color w:val="074F6A" w:themeColor="accent4" w:themeShade="80"/>
        </w:rPr>
        <w:tab/>
        <w:t xml:space="preserve">Inclusive community engagement workshop – part 1 (Hannah Barter, </w:t>
      </w:r>
      <w:hyperlink r:id="rId5" w:history="1">
        <w:r w:rsidRPr="00D7183B">
          <w:rPr>
            <w:rStyle w:val="Hyperlink"/>
            <w:rFonts w:ascii="Arial" w:hAnsi="Arial" w:cs="Arial"/>
            <w:color w:val="074F6A" w:themeColor="accent4" w:themeShade="80"/>
          </w:rPr>
          <w:t>Urban Vision Enterprise</w:t>
        </w:r>
      </w:hyperlink>
      <w:r w:rsidRPr="00D7183B">
        <w:rPr>
          <w:rFonts w:ascii="Arial" w:hAnsi="Arial" w:cs="Arial"/>
          <w:color w:val="074F6A" w:themeColor="accent4" w:themeShade="80"/>
        </w:rPr>
        <w:t xml:space="preserve">)  </w:t>
      </w:r>
    </w:p>
    <w:p w14:paraId="1F1867B8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12:15 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 xml:space="preserve">Break  </w:t>
      </w:r>
    </w:p>
    <w:p w14:paraId="064FC016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12:30 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 xml:space="preserve">Inclusive community engagement workshop – part 2 (Hannah Barter)  </w:t>
      </w:r>
    </w:p>
    <w:p w14:paraId="3C88AEFC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13:15 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 xml:space="preserve">Lunch </w:t>
      </w:r>
    </w:p>
    <w:p w14:paraId="62ADCCB7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14:00 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>Legal update (Stanzie Bell, Kings Chambers)</w:t>
      </w:r>
    </w:p>
    <w:p w14:paraId="40937A26" w14:textId="77777777" w:rsidR="00BB3DBB" w:rsidRPr="00D7183B" w:rsidRDefault="00BB3DBB" w:rsidP="00BB3DBB">
      <w:pPr>
        <w:ind w:left="1440" w:hanging="1440"/>
        <w:rPr>
          <w:rFonts w:ascii="Arial" w:hAnsi="Arial" w:cs="Arial"/>
          <w:b/>
          <w:bCs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15:00 </w:t>
      </w:r>
      <w:r w:rsidRPr="00D7183B">
        <w:rPr>
          <w:rFonts w:ascii="Arial" w:hAnsi="Arial" w:cs="Arial"/>
          <w:color w:val="074F6A" w:themeColor="accent4" w:themeShade="80"/>
        </w:rPr>
        <w:tab/>
        <w:t>Public engagement in strategic planning (Dr Daniel Slade, Head of Practice and Research, RTPI)</w:t>
      </w:r>
    </w:p>
    <w:p w14:paraId="74C1CC55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15:30 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>Reflections and round up of day (Jan Bessell, Vice President, RTPI)</w:t>
      </w:r>
    </w:p>
    <w:p w14:paraId="49C8D27D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15:40 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 xml:space="preserve">Refreshments and networking </w:t>
      </w:r>
    </w:p>
    <w:p w14:paraId="383FD7C2" w14:textId="77777777" w:rsidR="00BB3DBB" w:rsidRPr="00D7183B" w:rsidRDefault="00BB3DBB" w:rsidP="00BB3DBB">
      <w:pPr>
        <w:rPr>
          <w:rFonts w:ascii="Arial" w:hAnsi="Arial" w:cs="Arial"/>
          <w:color w:val="074F6A" w:themeColor="accent4" w:themeShade="80"/>
        </w:rPr>
      </w:pPr>
      <w:r w:rsidRPr="00D7183B">
        <w:rPr>
          <w:rFonts w:ascii="Arial" w:hAnsi="Arial" w:cs="Arial"/>
          <w:color w:val="074F6A" w:themeColor="accent4" w:themeShade="80"/>
        </w:rPr>
        <w:t xml:space="preserve">16:00 </w:t>
      </w:r>
      <w:r w:rsidRPr="00D7183B">
        <w:rPr>
          <w:rFonts w:ascii="Arial" w:hAnsi="Arial" w:cs="Arial"/>
          <w:color w:val="074F6A" w:themeColor="accent4" w:themeShade="80"/>
        </w:rPr>
        <w:tab/>
      </w:r>
      <w:r w:rsidRPr="00D7183B">
        <w:rPr>
          <w:rFonts w:ascii="Arial" w:hAnsi="Arial" w:cs="Arial"/>
          <w:color w:val="074F6A" w:themeColor="accent4" w:themeShade="80"/>
        </w:rPr>
        <w:tab/>
        <w:t xml:space="preserve">Close  </w:t>
      </w:r>
    </w:p>
    <w:p w14:paraId="0444F8DC" w14:textId="77777777" w:rsidR="00BB3DBB" w:rsidRDefault="00BB3DBB" w:rsidP="00BB3DBB"/>
    <w:p w14:paraId="4EB83370" w14:textId="77777777" w:rsidR="008C5AE4" w:rsidRDefault="008C5AE4"/>
    <w:sectPr w:rsidR="008C5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BB"/>
    <w:multiLevelType w:val="multilevel"/>
    <w:tmpl w:val="D39A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20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43"/>
    <w:rsid w:val="00037733"/>
    <w:rsid w:val="00086200"/>
    <w:rsid w:val="00127143"/>
    <w:rsid w:val="00154AE9"/>
    <w:rsid w:val="002079A4"/>
    <w:rsid w:val="00292EB4"/>
    <w:rsid w:val="00301D61"/>
    <w:rsid w:val="00331586"/>
    <w:rsid w:val="008C5AE4"/>
    <w:rsid w:val="00907DC3"/>
    <w:rsid w:val="00B06AB5"/>
    <w:rsid w:val="00BB3DBB"/>
    <w:rsid w:val="00D5771F"/>
    <w:rsid w:val="00D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A6F3"/>
  <w15:chartTrackingRefBased/>
  <w15:docId w15:val="{4B341C9B-8C9B-4AC8-8EBE-D0736EC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27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1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3DB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banvisionenterprise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Pearch</dc:creator>
  <cp:keywords/>
  <dc:description/>
  <cp:lastModifiedBy>Sol Pearch</cp:lastModifiedBy>
  <cp:revision>2</cp:revision>
  <dcterms:created xsi:type="dcterms:W3CDTF">2025-06-25T14:34:00Z</dcterms:created>
  <dcterms:modified xsi:type="dcterms:W3CDTF">2025-06-25T14:34:00Z</dcterms:modified>
</cp:coreProperties>
</file>