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9D1466" w:rsidRDefault="00246286" w:rsidP="004D254C">
      <w:pPr>
        <w:pStyle w:val="Title"/>
        <w:spacing w:line="360" w:lineRule="auto"/>
        <w:rPr>
          <w:rFonts w:ascii="Arial" w:hAnsi="Arial" w:cs="Arial"/>
        </w:rPr>
      </w:pPr>
      <w:r w:rsidRPr="009D1466">
        <w:rPr>
          <w:rFonts w:ascii="Arial" w:hAnsi="Arial" w:cs="Arial"/>
        </w:rPr>
        <w:t>Spatial Approaches to Local Energy Planning (SALEP)</w:t>
      </w:r>
    </w:p>
    <w:p w14:paraId="4F1B077E" w14:textId="0D6C3FBD" w:rsidR="00246286" w:rsidRPr="009D1466" w:rsidRDefault="00246286" w:rsidP="00246286">
      <w:pPr>
        <w:pStyle w:val="Title"/>
        <w:rPr>
          <w:rFonts w:ascii="Arial" w:hAnsi="Arial" w:cs="Arial"/>
        </w:rPr>
      </w:pPr>
      <w:r w:rsidRPr="009D1466">
        <w:rPr>
          <w:rFonts w:ascii="Arial" w:hAnsi="Arial" w:cs="Arial"/>
        </w:rPr>
        <w:t>Case stud</w:t>
      </w:r>
      <w:r w:rsidRPr="00766470">
        <w:rPr>
          <w:rFonts w:ascii="Arial" w:hAnsi="Arial" w:cs="Arial"/>
        </w:rPr>
        <w:t xml:space="preserve">y: </w:t>
      </w:r>
      <w:r w:rsidR="00F00962">
        <w:rPr>
          <w:rFonts w:ascii="Arial" w:hAnsi="Arial" w:cs="Arial"/>
        </w:rPr>
        <w:t>Perth and Kinross</w:t>
      </w:r>
    </w:p>
    <w:p w14:paraId="2E581EB6" w14:textId="77777777" w:rsidR="007016CE" w:rsidRPr="009D1466" w:rsidRDefault="007016CE" w:rsidP="002376B9">
      <w:pPr>
        <w:spacing w:line="360" w:lineRule="auto"/>
        <w:rPr>
          <w:rFonts w:ascii="Arial" w:hAnsi="Arial" w:cs="Arial"/>
        </w:rPr>
      </w:pPr>
    </w:p>
    <w:p w14:paraId="070FFDA1" w14:textId="6CFAD17C" w:rsidR="00550290" w:rsidRPr="009D1466" w:rsidRDefault="007016CE" w:rsidP="008D1AB5">
      <w:pPr>
        <w:pStyle w:val="Heading1"/>
        <w:numPr>
          <w:ilvl w:val="0"/>
          <w:numId w:val="0"/>
        </w:numPr>
        <w:ind w:left="432" w:hanging="432"/>
        <w:rPr>
          <w:rFonts w:ascii="Arial" w:hAnsi="Arial" w:cs="Arial"/>
        </w:rPr>
      </w:pPr>
      <w:bookmarkStart w:id="0" w:name="_Toc197441832"/>
      <w:bookmarkStart w:id="1" w:name="_Toc197442095"/>
      <w:bookmarkStart w:id="2" w:name="_Toc197506054"/>
      <w:bookmarkStart w:id="3" w:name="_Toc197680850"/>
      <w:bookmarkStart w:id="4" w:name="_Toc198637749"/>
      <w:bookmarkStart w:id="5" w:name="_Toc198642513"/>
      <w:bookmarkStart w:id="6" w:name="_Toc198885534"/>
      <w:r w:rsidRPr="009D1466">
        <w:rPr>
          <w:rFonts w:ascii="Arial" w:hAnsi="Arial" w:cs="Arial"/>
        </w:rPr>
        <w:t>The Royal Town Planning Institute (RTPI)</w:t>
      </w:r>
      <w:bookmarkEnd w:id="0"/>
      <w:bookmarkEnd w:id="1"/>
      <w:bookmarkEnd w:id="2"/>
      <w:bookmarkEnd w:id="3"/>
      <w:bookmarkEnd w:id="4"/>
      <w:bookmarkEnd w:id="5"/>
      <w:bookmarkEnd w:id="6"/>
    </w:p>
    <w:p w14:paraId="4EE94D09" w14:textId="68CABCA8" w:rsidR="00550290" w:rsidRPr="003D1B96" w:rsidRDefault="004219D9" w:rsidP="0029548E">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1C241611" w14:textId="3C808FC2" w:rsidR="00550290" w:rsidRPr="008D1AB5" w:rsidRDefault="004219D9" w:rsidP="008D1AB5">
      <w:pPr>
        <w:pStyle w:val="Heading1"/>
        <w:numPr>
          <w:ilvl w:val="0"/>
          <w:numId w:val="0"/>
        </w:numPr>
        <w:rPr>
          <w:rFonts w:ascii="Arial" w:hAnsi="Arial" w:cs="Arial"/>
        </w:rPr>
      </w:pPr>
      <w:bookmarkStart w:id="7" w:name="_Toc198637750"/>
      <w:bookmarkStart w:id="8" w:name="_Toc198642514"/>
      <w:bookmarkStart w:id="9" w:name="_Toc198885535"/>
      <w:r w:rsidRPr="008D1AB5">
        <w:rPr>
          <w:rFonts w:ascii="Arial" w:hAnsi="Arial" w:cs="Arial"/>
        </w:rPr>
        <w:t>This resource is part of the</w:t>
      </w:r>
      <w:r w:rsidR="0021395E" w:rsidRPr="008D1AB5">
        <w:rPr>
          <w:rFonts w:ascii="Arial" w:hAnsi="Arial" w:cs="Arial"/>
        </w:rPr>
        <w:t xml:space="preserve"> </w:t>
      </w:r>
      <w:r w:rsidRPr="008D1AB5">
        <w:rPr>
          <w:rFonts w:ascii="Arial" w:hAnsi="Arial" w:cs="Arial"/>
        </w:rPr>
        <w:t>Spatial Approaches to Local Energy Planning (SALEP) suite</w:t>
      </w:r>
      <w:bookmarkEnd w:id="7"/>
      <w:bookmarkEnd w:id="8"/>
      <w:bookmarkEnd w:id="9"/>
      <w:r w:rsidRPr="008D1AB5">
        <w:rPr>
          <w:rFonts w:ascii="Arial" w:hAnsi="Arial" w:cs="Arial"/>
        </w:rPr>
        <w:t xml:space="preserve"> </w:t>
      </w:r>
    </w:p>
    <w:p w14:paraId="4D8EB01E" w14:textId="77777777" w:rsidR="00255FF0" w:rsidRPr="003D1B96" w:rsidRDefault="00255FF0" w:rsidP="0029548E">
      <w:pPr>
        <w:spacing w:line="240" w:lineRule="auto"/>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1770F10C" w14:textId="7E45244B" w:rsidR="0036634A" w:rsidRPr="003D1B96" w:rsidRDefault="00255FF0" w:rsidP="0029548E">
      <w:pPr>
        <w:spacing w:line="240" w:lineRule="auto"/>
        <w:rPr>
          <w:rFonts w:ascii="Arial" w:hAnsi="Arial" w:cs="Arial"/>
        </w:rPr>
      </w:pPr>
      <w:r w:rsidRPr="003D1B96">
        <w:rPr>
          <w:rFonts w:ascii="Arial" w:hAnsi="Arial" w:cs="Arial"/>
        </w:rPr>
        <w:t xml:space="preserve">For more information and access to the rest of the suite, please visit the </w:t>
      </w:r>
      <w:hyperlink r:id="rId11" w:history="1">
        <w:r w:rsidRPr="00417B99">
          <w:rPr>
            <w:rStyle w:val="Hyperlink"/>
            <w:rFonts w:ascii="Arial" w:hAnsi="Arial" w:cs="Arial"/>
          </w:rPr>
          <w:t>SALEP webpage</w:t>
        </w:r>
      </w:hyperlink>
      <w:r w:rsidRPr="003D1B96">
        <w:rPr>
          <w:rFonts w:ascii="Arial" w:hAnsi="Arial" w:cs="Arial"/>
        </w:rPr>
        <w:t>.</w:t>
      </w:r>
    </w:p>
    <w:p w14:paraId="1170319C" w14:textId="77777777" w:rsidR="0036634A" w:rsidRPr="003D1B96" w:rsidRDefault="0036634A" w:rsidP="008D1AB5">
      <w:pPr>
        <w:pStyle w:val="Heading1"/>
        <w:numPr>
          <w:ilvl w:val="0"/>
          <w:numId w:val="0"/>
        </w:numPr>
        <w:spacing w:line="360" w:lineRule="auto"/>
        <w:ind w:left="432" w:hanging="432"/>
        <w:rPr>
          <w:rFonts w:ascii="Arial" w:hAnsi="Arial" w:cs="Arial"/>
        </w:rPr>
      </w:pPr>
      <w:bookmarkStart w:id="10" w:name="_Toc197441834"/>
      <w:bookmarkStart w:id="11" w:name="_Toc197442097"/>
      <w:bookmarkStart w:id="12" w:name="_Toc197506056"/>
      <w:bookmarkStart w:id="13" w:name="_Toc197680852"/>
      <w:bookmarkStart w:id="14" w:name="_Toc198637751"/>
      <w:bookmarkStart w:id="15" w:name="_Toc198642515"/>
      <w:bookmarkStart w:id="16" w:name="_Toc198885536"/>
      <w:r w:rsidRPr="003D1B96">
        <w:rPr>
          <w:rFonts w:ascii="Arial" w:hAnsi="Arial" w:cs="Arial"/>
        </w:rPr>
        <w:t>Authors</w:t>
      </w:r>
      <w:bookmarkEnd w:id="10"/>
      <w:bookmarkEnd w:id="11"/>
      <w:bookmarkEnd w:id="12"/>
      <w:bookmarkEnd w:id="13"/>
      <w:bookmarkEnd w:id="14"/>
      <w:bookmarkEnd w:id="15"/>
      <w:bookmarkEnd w:id="16"/>
    </w:p>
    <w:p w14:paraId="07C288EE" w14:textId="078F56C8" w:rsidR="0029548E" w:rsidRPr="0029548E" w:rsidRDefault="0029548E" w:rsidP="0029548E">
      <w:pPr>
        <w:spacing w:line="360" w:lineRule="auto"/>
        <w:rPr>
          <w:rFonts w:ascii="Arial" w:hAnsi="Arial" w:cs="Arial"/>
        </w:rPr>
      </w:pPr>
      <w:r w:rsidRPr="0029548E">
        <w:rPr>
          <w:rFonts w:ascii="Arial" w:hAnsi="Arial" w:cs="Arial"/>
        </w:rPr>
        <w:t xml:space="preserve">This document was produced by Regen with input from the RTPI. </w:t>
      </w:r>
    </w:p>
    <w:p w14:paraId="4D0BD17A" w14:textId="77777777" w:rsidR="0029548E" w:rsidRPr="0029548E" w:rsidRDefault="0029548E" w:rsidP="0029548E">
      <w:pPr>
        <w:pStyle w:val="Heading1"/>
        <w:numPr>
          <w:ilvl w:val="0"/>
          <w:numId w:val="0"/>
        </w:numPr>
        <w:rPr>
          <w:rFonts w:ascii="Arial" w:hAnsi="Arial" w:cs="Arial"/>
        </w:rPr>
      </w:pPr>
      <w:bookmarkStart w:id="17" w:name="_Toc198821231"/>
      <w:bookmarkStart w:id="18" w:name="_Toc198885537"/>
      <w:r w:rsidRPr="0029548E">
        <w:rPr>
          <w:rFonts w:ascii="Arial" w:hAnsi="Arial" w:cs="Arial"/>
        </w:rPr>
        <w:t>Cover image</w:t>
      </w:r>
      <w:bookmarkEnd w:id="17"/>
      <w:bookmarkEnd w:id="18"/>
      <w:r w:rsidRPr="0029548E">
        <w:rPr>
          <w:rFonts w:ascii="Arial" w:hAnsi="Arial" w:cs="Arial"/>
        </w:rPr>
        <w:t xml:space="preserve"> </w:t>
      </w:r>
    </w:p>
    <w:p w14:paraId="597005F1" w14:textId="77777777" w:rsidR="0029548E" w:rsidRPr="0029548E" w:rsidRDefault="0029548E" w:rsidP="0029548E">
      <w:pPr>
        <w:spacing w:line="360" w:lineRule="auto"/>
        <w:rPr>
          <w:rFonts w:ascii="Arial" w:hAnsi="Arial" w:cs="Arial"/>
        </w:rPr>
      </w:pPr>
      <w:r w:rsidRPr="0029548E">
        <w:rPr>
          <w:rFonts w:ascii="Arial" w:hAnsi="Arial" w:cs="Arial"/>
        </w:rPr>
        <w:t xml:space="preserve">Credit: </w:t>
      </w:r>
      <w:hyperlink r:id="rId12" w:tgtFrame="_blank" w:tooltip="https://www.gettyimages.co.uk/search/photographer?photographer=yevtony" w:history="1">
        <w:proofErr w:type="spellStart"/>
        <w:r w:rsidRPr="0029548E">
          <w:rPr>
            <w:rStyle w:val="Hyperlink"/>
            <w:rFonts w:ascii="Arial" w:hAnsi="Arial" w:cs="Arial"/>
          </w:rPr>
          <w:t>yevtony</w:t>
        </w:r>
        <w:proofErr w:type="spellEnd"/>
      </w:hyperlink>
      <w:r w:rsidRPr="0029548E">
        <w:rPr>
          <w:rFonts w:ascii="Arial" w:hAnsi="Arial" w:cs="Arial"/>
        </w:rPr>
        <w:t xml:space="preserve"> </w:t>
      </w:r>
    </w:p>
    <w:p w14:paraId="39A0D979" w14:textId="77777777" w:rsidR="0029548E" w:rsidRPr="0029548E" w:rsidRDefault="0029548E" w:rsidP="0029548E">
      <w:pPr>
        <w:spacing w:line="360" w:lineRule="auto"/>
        <w:rPr>
          <w:rFonts w:ascii="Arial" w:hAnsi="Arial" w:cs="Arial"/>
        </w:rPr>
      </w:pPr>
      <w:r w:rsidRPr="0029548E">
        <w:rPr>
          <w:rFonts w:ascii="Arial" w:hAnsi="Arial" w:cs="Arial"/>
        </w:rPr>
        <w:t>Royalty free.</w:t>
      </w:r>
    </w:p>
    <w:p w14:paraId="5B5EAE07" w14:textId="36D9363C" w:rsidR="00FB7DDC" w:rsidRPr="003D1B96" w:rsidRDefault="00FB7DDC" w:rsidP="00371E53">
      <w:pPr>
        <w:spacing w:line="360" w:lineRule="auto"/>
        <w:rPr>
          <w:rFonts w:ascii="Arial" w:eastAsiaTheme="majorEastAsia" w:hAnsi="Arial" w:cs="Arial"/>
          <w:b/>
          <w:color w:val="0F4761" w:themeColor="accent1" w:themeShade="BF"/>
          <w:sz w:val="28"/>
          <w:szCs w:val="40"/>
        </w:rPr>
      </w:pPr>
      <w:r w:rsidRPr="003D1B96">
        <w:rPr>
          <w:rFonts w:ascii="Arial" w:hAnsi="Arial" w:cs="Arial"/>
        </w:rPr>
        <w:br w:type="page"/>
      </w:r>
    </w:p>
    <w:bookmarkStart w:id="19" w:name="_Toc198885538" w:displacedByCustomXml="next"/>
    <w:sdt>
      <w:sdtPr>
        <w:rPr>
          <w:rFonts w:eastAsiaTheme="minorHAnsi" w:cstheme="minorBidi"/>
          <w:b w:val="0"/>
          <w:color w:val="auto"/>
          <w:sz w:val="22"/>
          <w:szCs w:val="22"/>
        </w:rPr>
        <w:id w:val="878519737"/>
        <w:docPartObj>
          <w:docPartGallery w:val="Table of Contents"/>
          <w:docPartUnique/>
        </w:docPartObj>
      </w:sdtPr>
      <w:sdtEndPr>
        <w:rPr>
          <w:bCs/>
          <w:noProof/>
          <w:sz w:val="24"/>
          <w:szCs w:val="24"/>
        </w:rPr>
      </w:sdtEndPr>
      <w:sdtContent>
        <w:p w14:paraId="75D6EA2D" w14:textId="77777777" w:rsidR="00C408AE" w:rsidRPr="00862B2C" w:rsidRDefault="00C408AE" w:rsidP="00FA6258">
          <w:pPr>
            <w:pStyle w:val="Heading1"/>
            <w:numPr>
              <w:ilvl w:val="0"/>
              <w:numId w:val="0"/>
            </w:numPr>
            <w:ind w:left="432" w:hanging="432"/>
            <w:rPr>
              <w:rFonts w:ascii="Arial" w:hAnsi="Arial" w:cs="Arial"/>
              <w:lang w:val="en-US"/>
            </w:rPr>
          </w:pPr>
          <w:r w:rsidRPr="00862B2C">
            <w:rPr>
              <w:rFonts w:ascii="Arial" w:hAnsi="Arial" w:cs="Arial"/>
              <w:lang w:val="en-US"/>
            </w:rPr>
            <w:t>Contents</w:t>
          </w:r>
          <w:bookmarkEnd w:id="19"/>
        </w:p>
        <w:p w14:paraId="4EE3C7C7" w14:textId="13B4A5AB" w:rsidR="00FA6258" w:rsidRDefault="00C408AE">
          <w:pPr>
            <w:pStyle w:val="TOC1"/>
            <w:rPr>
              <w:rFonts w:asciiTheme="minorHAnsi" w:eastAsiaTheme="minorEastAsia" w:hAnsiTheme="minorHAnsi" w:cstheme="minorBidi"/>
              <w:szCs w:val="24"/>
              <w:lang w:eastAsia="en-GB"/>
            </w:rPr>
          </w:pPr>
          <w:r w:rsidRPr="00862B2C">
            <w:rPr>
              <w:noProof w:val="0"/>
              <w:szCs w:val="24"/>
            </w:rPr>
            <w:fldChar w:fldCharType="begin"/>
          </w:r>
          <w:r w:rsidRPr="00862B2C">
            <w:rPr>
              <w:szCs w:val="24"/>
            </w:rPr>
            <w:instrText xml:space="preserve"> TOC \o "1-3" \h \z \u </w:instrText>
          </w:r>
          <w:r w:rsidRPr="00862B2C">
            <w:rPr>
              <w:noProof w:val="0"/>
              <w:szCs w:val="24"/>
            </w:rPr>
            <w:fldChar w:fldCharType="separate"/>
          </w:r>
          <w:hyperlink w:anchor="_Toc198885534" w:history="1">
            <w:r w:rsidR="00FA6258" w:rsidRPr="00DA31D8">
              <w:rPr>
                <w:rStyle w:val="Hyperlink"/>
              </w:rPr>
              <w:t>The Royal Town Planning Institute (RTPI)</w:t>
            </w:r>
            <w:r w:rsidR="00FA6258">
              <w:rPr>
                <w:webHidden/>
              </w:rPr>
              <w:tab/>
            </w:r>
            <w:r w:rsidR="00FA6258">
              <w:rPr>
                <w:webHidden/>
              </w:rPr>
              <w:fldChar w:fldCharType="begin"/>
            </w:r>
            <w:r w:rsidR="00FA6258">
              <w:rPr>
                <w:webHidden/>
              </w:rPr>
              <w:instrText xml:space="preserve"> PAGEREF _Toc198885534 \h </w:instrText>
            </w:r>
            <w:r w:rsidR="00FA6258">
              <w:rPr>
                <w:webHidden/>
              </w:rPr>
            </w:r>
            <w:r w:rsidR="00FA6258">
              <w:rPr>
                <w:webHidden/>
              </w:rPr>
              <w:fldChar w:fldCharType="separate"/>
            </w:r>
            <w:r w:rsidR="00FA6258">
              <w:rPr>
                <w:webHidden/>
              </w:rPr>
              <w:t>1</w:t>
            </w:r>
            <w:r w:rsidR="00FA6258">
              <w:rPr>
                <w:webHidden/>
              </w:rPr>
              <w:fldChar w:fldCharType="end"/>
            </w:r>
          </w:hyperlink>
        </w:p>
        <w:p w14:paraId="13740FB6" w14:textId="7FF7C57F" w:rsidR="00FA6258" w:rsidRDefault="0064397A">
          <w:pPr>
            <w:pStyle w:val="TOC1"/>
            <w:rPr>
              <w:rFonts w:asciiTheme="minorHAnsi" w:eastAsiaTheme="minorEastAsia" w:hAnsiTheme="minorHAnsi" w:cstheme="minorBidi"/>
              <w:szCs w:val="24"/>
              <w:lang w:eastAsia="en-GB"/>
            </w:rPr>
          </w:pPr>
          <w:hyperlink w:anchor="_Toc198885535" w:history="1">
            <w:r w:rsidR="00FA6258" w:rsidRPr="00DA31D8">
              <w:rPr>
                <w:rStyle w:val="Hyperlink"/>
              </w:rPr>
              <w:t>This resource is part of the Spatial Approaches to Local Energy Planning (SALEP) suite</w:t>
            </w:r>
            <w:r w:rsidR="00FA6258">
              <w:rPr>
                <w:webHidden/>
              </w:rPr>
              <w:tab/>
            </w:r>
            <w:r w:rsidR="00FA6258">
              <w:rPr>
                <w:webHidden/>
              </w:rPr>
              <w:fldChar w:fldCharType="begin"/>
            </w:r>
            <w:r w:rsidR="00FA6258">
              <w:rPr>
                <w:webHidden/>
              </w:rPr>
              <w:instrText xml:space="preserve"> PAGEREF _Toc198885535 \h </w:instrText>
            </w:r>
            <w:r w:rsidR="00FA6258">
              <w:rPr>
                <w:webHidden/>
              </w:rPr>
            </w:r>
            <w:r w:rsidR="00FA6258">
              <w:rPr>
                <w:webHidden/>
              </w:rPr>
              <w:fldChar w:fldCharType="separate"/>
            </w:r>
            <w:r w:rsidR="00FA6258">
              <w:rPr>
                <w:webHidden/>
              </w:rPr>
              <w:t>1</w:t>
            </w:r>
            <w:r w:rsidR="00FA6258">
              <w:rPr>
                <w:webHidden/>
              </w:rPr>
              <w:fldChar w:fldCharType="end"/>
            </w:r>
          </w:hyperlink>
        </w:p>
        <w:p w14:paraId="668B7A9A" w14:textId="23639D6B" w:rsidR="00FA6258" w:rsidRDefault="0064397A">
          <w:pPr>
            <w:pStyle w:val="TOC1"/>
            <w:rPr>
              <w:rFonts w:asciiTheme="minorHAnsi" w:eastAsiaTheme="minorEastAsia" w:hAnsiTheme="minorHAnsi" w:cstheme="minorBidi"/>
              <w:szCs w:val="24"/>
              <w:lang w:eastAsia="en-GB"/>
            </w:rPr>
          </w:pPr>
          <w:hyperlink w:anchor="_Toc198885536" w:history="1">
            <w:r w:rsidR="00FA6258" w:rsidRPr="00DA31D8">
              <w:rPr>
                <w:rStyle w:val="Hyperlink"/>
              </w:rPr>
              <w:t>Authors</w:t>
            </w:r>
            <w:r w:rsidR="00FA6258">
              <w:rPr>
                <w:webHidden/>
              </w:rPr>
              <w:tab/>
            </w:r>
            <w:r w:rsidR="00FA6258">
              <w:rPr>
                <w:webHidden/>
              </w:rPr>
              <w:fldChar w:fldCharType="begin"/>
            </w:r>
            <w:r w:rsidR="00FA6258">
              <w:rPr>
                <w:webHidden/>
              </w:rPr>
              <w:instrText xml:space="preserve"> PAGEREF _Toc198885536 \h </w:instrText>
            </w:r>
            <w:r w:rsidR="00FA6258">
              <w:rPr>
                <w:webHidden/>
              </w:rPr>
            </w:r>
            <w:r w:rsidR="00FA6258">
              <w:rPr>
                <w:webHidden/>
              </w:rPr>
              <w:fldChar w:fldCharType="separate"/>
            </w:r>
            <w:r w:rsidR="00FA6258">
              <w:rPr>
                <w:webHidden/>
              </w:rPr>
              <w:t>1</w:t>
            </w:r>
            <w:r w:rsidR="00FA6258">
              <w:rPr>
                <w:webHidden/>
              </w:rPr>
              <w:fldChar w:fldCharType="end"/>
            </w:r>
          </w:hyperlink>
        </w:p>
        <w:p w14:paraId="0FEB5CB6" w14:textId="3AEB499C" w:rsidR="00FA6258" w:rsidRDefault="0064397A">
          <w:pPr>
            <w:pStyle w:val="TOC1"/>
            <w:rPr>
              <w:rFonts w:asciiTheme="minorHAnsi" w:eastAsiaTheme="minorEastAsia" w:hAnsiTheme="minorHAnsi" w:cstheme="minorBidi"/>
              <w:szCs w:val="24"/>
              <w:lang w:eastAsia="en-GB"/>
            </w:rPr>
          </w:pPr>
          <w:hyperlink w:anchor="_Toc198885537" w:history="1">
            <w:r w:rsidR="00FA6258" w:rsidRPr="00DA31D8">
              <w:rPr>
                <w:rStyle w:val="Hyperlink"/>
              </w:rPr>
              <w:t>Cover image</w:t>
            </w:r>
            <w:r w:rsidR="00FA6258">
              <w:rPr>
                <w:webHidden/>
              </w:rPr>
              <w:tab/>
            </w:r>
            <w:r w:rsidR="00FA6258">
              <w:rPr>
                <w:webHidden/>
              </w:rPr>
              <w:fldChar w:fldCharType="begin"/>
            </w:r>
            <w:r w:rsidR="00FA6258">
              <w:rPr>
                <w:webHidden/>
              </w:rPr>
              <w:instrText xml:space="preserve"> PAGEREF _Toc198885537 \h </w:instrText>
            </w:r>
            <w:r w:rsidR="00FA6258">
              <w:rPr>
                <w:webHidden/>
              </w:rPr>
            </w:r>
            <w:r w:rsidR="00FA6258">
              <w:rPr>
                <w:webHidden/>
              </w:rPr>
              <w:fldChar w:fldCharType="separate"/>
            </w:r>
            <w:r w:rsidR="00FA6258">
              <w:rPr>
                <w:webHidden/>
              </w:rPr>
              <w:t>1</w:t>
            </w:r>
            <w:r w:rsidR="00FA6258">
              <w:rPr>
                <w:webHidden/>
              </w:rPr>
              <w:fldChar w:fldCharType="end"/>
            </w:r>
          </w:hyperlink>
        </w:p>
        <w:p w14:paraId="535061C5" w14:textId="631194FA" w:rsidR="00FA6258" w:rsidRDefault="0064397A">
          <w:pPr>
            <w:pStyle w:val="TOC1"/>
            <w:rPr>
              <w:rFonts w:asciiTheme="minorHAnsi" w:eastAsiaTheme="minorEastAsia" w:hAnsiTheme="minorHAnsi" w:cstheme="minorBidi"/>
              <w:szCs w:val="24"/>
              <w:lang w:eastAsia="en-GB"/>
            </w:rPr>
          </w:pPr>
          <w:hyperlink w:anchor="_Toc198885538" w:history="1">
            <w:r w:rsidR="00FA6258" w:rsidRPr="00DA31D8">
              <w:rPr>
                <w:rStyle w:val="Hyperlink"/>
                <w:lang w:val="en-US"/>
              </w:rPr>
              <w:t>Contents</w:t>
            </w:r>
            <w:r w:rsidR="00FA6258">
              <w:rPr>
                <w:webHidden/>
              </w:rPr>
              <w:tab/>
            </w:r>
            <w:r w:rsidR="00FA6258">
              <w:rPr>
                <w:webHidden/>
              </w:rPr>
              <w:fldChar w:fldCharType="begin"/>
            </w:r>
            <w:r w:rsidR="00FA6258">
              <w:rPr>
                <w:webHidden/>
              </w:rPr>
              <w:instrText xml:space="preserve"> PAGEREF _Toc198885538 \h </w:instrText>
            </w:r>
            <w:r w:rsidR="00FA6258">
              <w:rPr>
                <w:webHidden/>
              </w:rPr>
            </w:r>
            <w:r w:rsidR="00FA6258">
              <w:rPr>
                <w:webHidden/>
              </w:rPr>
              <w:fldChar w:fldCharType="separate"/>
            </w:r>
            <w:r w:rsidR="00FA6258">
              <w:rPr>
                <w:webHidden/>
              </w:rPr>
              <w:t>2</w:t>
            </w:r>
            <w:r w:rsidR="00FA6258">
              <w:rPr>
                <w:webHidden/>
              </w:rPr>
              <w:fldChar w:fldCharType="end"/>
            </w:r>
          </w:hyperlink>
        </w:p>
        <w:p w14:paraId="4DC3B07C" w14:textId="7D0AA538" w:rsidR="00FA6258" w:rsidRDefault="0064397A">
          <w:pPr>
            <w:pStyle w:val="TOC1"/>
            <w:rPr>
              <w:rFonts w:asciiTheme="minorHAnsi" w:eastAsiaTheme="minorEastAsia" w:hAnsiTheme="minorHAnsi" w:cstheme="minorBidi"/>
              <w:szCs w:val="24"/>
              <w:lang w:eastAsia="en-GB"/>
            </w:rPr>
          </w:pPr>
          <w:hyperlink w:anchor="_Toc198885539" w:history="1">
            <w:r w:rsidR="00FA6258" w:rsidRPr="00DA31D8">
              <w:rPr>
                <w:rStyle w:val="Hyperlink"/>
              </w:rPr>
              <w:t>1. Case study summary</w:t>
            </w:r>
            <w:r w:rsidR="00FA6258">
              <w:rPr>
                <w:webHidden/>
              </w:rPr>
              <w:tab/>
            </w:r>
            <w:r w:rsidR="00FA6258">
              <w:rPr>
                <w:webHidden/>
              </w:rPr>
              <w:fldChar w:fldCharType="begin"/>
            </w:r>
            <w:r w:rsidR="00FA6258">
              <w:rPr>
                <w:webHidden/>
              </w:rPr>
              <w:instrText xml:space="preserve"> PAGEREF _Toc198885539 \h </w:instrText>
            </w:r>
            <w:r w:rsidR="00FA6258">
              <w:rPr>
                <w:webHidden/>
              </w:rPr>
            </w:r>
            <w:r w:rsidR="00FA6258">
              <w:rPr>
                <w:webHidden/>
              </w:rPr>
              <w:fldChar w:fldCharType="separate"/>
            </w:r>
            <w:r w:rsidR="00FA6258">
              <w:rPr>
                <w:webHidden/>
              </w:rPr>
              <w:t>3</w:t>
            </w:r>
            <w:r w:rsidR="00FA6258">
              <w:rPr>
                <w:webHidden/>
              </w:rPr>
              <w:fldChar w:fldCharType="end"/>
            </w:r>
          </w:hyperlink>
        </w:p>
        <w:p w14:paraId="675670CB" w14:textId="07FC3BD3" w:rsidR="00FA6258" w:rsidRDefault="0064397A">
          <w:pPr>
            <w:pStyle w:val="TOC1"/>
            <w:rPr>
              <w:rFonts w:asciiTheme="minorHAnsi" w:eastAsiaTheme="minorEastAsia" w:hAnsiTheme="minorHAnsi" w:cstheme="minorBidi"/>
              <w:szCs w:val="24"/>
              <w:lang w:eastAsia="en-GB"/>
            </w:rPr>
          </w:pPr>
          <w:hyperlink w:anchor="_Toc198885540" w:history="1">
            <w:r w:rsidR="00FA6258" w:rsidRPr="00DA31D8">
              <w:rPr>
                <w:rStyle w:val="Hyperlink"/>
              </w:rPr>
              <w:t>2. Context: Local Heat and Energy Efficiency Strategies (LHEES) in Scotland</w:t>
            </w:r>
            <w:r w:rsidR="00FA6258">
              <w:rPr>
                <w:webHidden/>
              </w:rPr>
              <w:tab/>
            </w:r>
            <w:r w:rsidR="00FA6258">
              <w:rPr>
                <w:webHidden/>
              </w:rPr>
              <w:fldChar w:fldCharType="begin"/>
            </w:r>
            <w:r w:rsidR="00FA6258">
              <w:rPr>
                <w:webHidden/>
              </w:rPr>
              <w:instrText xml:space="preserve"> PAGEREF _Toc198885540 \h </w:instrText>
            </w:r>
            <w:r w:rsidR="00FA6258">
              <w:rPr>
                <w:webHidden/>
              </w:rPr>
            </w:r>
            <w:r w:rsidR="00FA6258">
              <w:rPr>
                <w:webHidden/>
              </w:rPr>
              <w:fldChar w:fldCharType="separate"/>
            </w:r>
            <w:r w:rsidR="00FA6258">
              <w:rPr>
                <w:webHidden/>
              </w:rPr>
              <w:t>3</w:t>
            </w:r>
            <w:r w:rsidR="00FA6258">
              <w:rPr>
                <w:webHidden/>
              </w:rPr>
              <w:fldChar w:fldCharType="end"/>
            </w:r>
          </w:hyperlink>
        </w:p>
        <w:p w14:paraId="7A31FD39" w14:textId="65B5E0B0" w:rsidR="00FA6258" w:rsidRDefault="0064397A">
          <w:pPr>
            <w:pStyle w:val="TOC1"/>
            <w:rPr>
              <w:rFonts w:asciiTheme="minorHAnsi" w:eastAsiaTheme="minorEastAsia" w:hAnsiTheme="minorHAnsi" w:cstheme="minorBidi"/>
              <w:szCs w:val="24"/>
              <w:lang w:eastAsia="en-GB"/>
            </w:rPr>
          </w:pPr>
          <w:hyperlink w:anchor="_Toc198885541" w:history="1">
            <w:r w:rsidR="00FA6258" w:rsidRPr="00DA31D8">
              <w:rPr>
                <w:rStyle w:val="Hyperlink"/>
              </w:rPr>
              <w:t>3. Development of the LHEES and Local Area Energy Plans (LAEPs)</w:t>
            </w:r>
            <w:r w:rsidR="00FA6258">
              <w:rPr>
                <w:webHidden/>
              </w:rPr>
              <w:tab/>
            </w:r>
            <w:r w:rsidR="00FA6258">
              <w:rPr>
                <w:webHidden/>
              </w:rPr>
              <w:fldChar w:fldCharType="begin"/>
            </w:r>
            <w:r w:rsidR="00FA6258">
              <w:rPr>
                <w:webHidden/>
              </w:rPr>
              <w:instrText xml:space="preserve"> PAGEREF _Toc198885541 \h </w:instrText>
            </w:r>
            <w:r w:rsidR="00FA6258">
              <w:rPr>
                <w:webHidden/>
              </w:rPr>
            </w:r>
            <w:r w:rsidR="00FA6258">
              <w:rPr>
                <w:webHidden/>
              </w:rPr>
              <w:fldChar w:fldCharType="separate"/>
            </w:r>
            <w:r w:rsidR="00FA6258">
              <w:rPr>
                <w:webHidden/>
              </w:rPr>
              <w:t>3</w:t>
            </w:r>
            <w:r w:rsidR="00FA6258">
              <w:rPr>
                <w:webHidden/>
              </w:rPr>
              <w:fldChar w:fldCharType="end"/>
            </w:r>
          </w:hyperlink>
        </w:p>
        <w:p w14:paraId="6ACC7FF8" w14:textId="5709E27B" w:rsidR="00FA6258" w:rsidRDefault="0064397A">
          <w:pPr>
            <w:pStyle w:val="TOC2"/>
            <w:tabs>
              <w:tab w:val="right" w:leader="dot" w:pos="9016"/>
            </w:tabs>
            <w:rPr>
              <w:rFonts w:asciiTheme="minorHAnsi" w:eastAsiaTheme="minorEastAsia" w:hAnsiTheme="minorHAnsi"/>
              <w:noProof/>
              <w:szCs w:val="24"/>
              <w:lang w:eastAsia="en-GB"/>
            </w:rPr>
          </w:pPr>
          <w:hyperlink w:anchor="_Toc198885542" w:history="1">
            <w:r w:rsidR="00FA6258" w:rsidRPr="00DA31D8">
              <w:rPr>
                <w:rStyle w:val="Hyperlink"/>
                <w:rFonts w:ascii="Arial" w:hAnsi="Arial" w:cs="Arial"/>
                <w:noProof/>
              </w:rPr>
              <w:t>3.1 LHEES</w:t>
            </w:r>
            <w:r w:rsidR="00FA6258">
              <w:rPr>
                <w:noProof/>
                <w:webHidden/>
              </w:rPr>
              <w:tab/>
            </w:r>
            <w:r w:rsidR="00FA6258">
              <w:rPr>
                <w:noProof/>
                <w:webHidden/>
              </w:rPr>
              <w:fldChar w:fldCharType="begin"/>
            </w:r>
            <w:r w:rsidR="00FA6258">
              <w:rPr>
                <w:noProof/>
                <w:webHidden/>
              </w:rPr>
              <w:instrText xml:space="preserve"> PAGEREF _Toc198885542 \h </w:instrText>
            </w:r>
            <w:r w:rsidR="00FA6258">
              <w:rPr>
                <w:noProof/>
                <w:webHidden/>
              </w:rPr>
            </w:r>
            <w:r w:rsidR="00FA6258">
              <w:rPr>
                <w:noProof/>
                <w:webHidden/>
              </w:rPr>
              <w:fldChar w:fldCharType="separate"/>
            </w:r>
            <w:r w:rsidR="00FA6258">
              <w:rPr>
                <w:noProof/>
                <w:webHidden/>
              </w:rPr>
              <w:t>3</w:t>
            </w:r>
            <w:r w:rsidR="00FA6258">
              <w:rPr>
                <w:noProof/>
                <w:webHidden/>
              </w:rPr>
              <w:fldChar w:fldCharType="end"/>
            </w:r>
          </w:hyperlink>
        </w:p>
        <w:p w14:paraId="42564E7F" w14:textId="07AE1BD9" w:rsidR="00FA6258" w:rsidRDefault="0064397A">
          <w:pPr>
            <w:pStyle w:val="TOC2"/>
            <w:tabs>
              <w:tab w:val="right" w:leader="dot" w:pos="9016"/>
            </w:tabs>
            <w:rPr>
              <w:rFonts w:asciiTheme="minorHAnsi" w:eastAsiaTheme="minorEastAsia" w:hAnsiTheme="minorHAnsi"/>
              <w:noProof/>
              <w:szCs w:val="24"/>
              <w:lang w:eastAsia="en-GB"/>
            </w:rPr>
          </w:pPr>
          <w:hyperlink w:anchor="_Toc198885543" w:history="1">
            <w:r w:rsidR="00FA6258" w:rsidRPr="00DA31D8">
              <w:rPr>
                <w:rStyle w:val="Hyperlink"/>
                <w:rFonts w:ascii="Arial" w:hAnsi="Arial" w:cs="Arial"/>
                <w:noProof/>
              </w:rPr>
              <w:t>3.2 LAEP</w:t>
            </w:r>
            <w:r w:rsidR="00FA6258">
              <w:rPr>
                <w:noProof/>
                <w:webHidden/>
              </w:rPr>
              <w:tab/>
            </w:r>
            <w:r w:rsidR="00FA6258">
              <w:rPr>
                <w:noProof/>
                <w:webHidden/>
              </w:rPr>
              <w:fldChar w:fldCharType="begin"/>
            </w:r>
            <w:r w:rsidR="00FA6258">
              <w:rPr>
                <w:noProof/>
                <w:webHidden/>
              </w:rPr>
              <w:instrText xml:space="preserve"> PAGEREF _Toc198885543 \h </w:instrText>
            </w:r>
            <w:r w:rsidR="00FA6258">
              <w:rPr>
                <w:noProof/>
                <w:webHidden/>
              </w:rPr>
            </w:r>
            <w:r w:rsidR="00FA6258">
              <w:rPr>
                <w:noProof/>
                <w:webHidden/>
              </w:rPr>
              <w:fldChar w:fldCharType="separate"/>
            </w:r>
            <w:r w:rsidR="00FA6258">
              <w:rPr>
                <w:noProof/>
                <w:webHidden/>
              </w:rPr>
              <w:t>4</w:t>
            </w:r>
            <w:r w:rsidR="00FA6258">
              <w:rPr>
                <w:noProof/>
                <w:webHidden/>
              </w:rPr>
              <w:fldChar w:fldCharType="end"/>
            </w:r>
          </w:hyperlink>
        </w:p>
        <w:p w14:paraId="040E2C4A" w14:textId="151E4C9C" w:rsidR="00FA6258" w:rsidRDefault="0064397A">
          <w:pPr>
            <w:pStyle w:val="TOC1"/>
            <w:rPr>
              <w:rFonts w:asciiTheme="minorHAnsi" w:eastAsiaTheme="minorEastAsia" w:hAnsiTheme="minorHAnsi" w:cstheme="minorBidi"/>
              <w:szCs w:val="24"/>
              <w:lang w:eastAsia="en-GB"/>
            </w:rPr>
          </w:pPr>
          <w:hyperlink w:anchor="_Toc198885544" w:history="1">
            <w:r w:rsidR="00FA6258" w:rsidRPr="00DA31D8">
              <w:rPr>
                <w:rStyle w:val="Hyperlink"/>
              </w:rPr>
              <w:t>4. Collaborative governance during the LHESS and LAEP development</w:t>
            </w:r>
            <w:r w:rsidR="00FA6258">
              <w:rPr>
                <w:webHidden/>
              </w:rPr>
              <w:tab/>
            </w:r>
            <w:r w:rsidR="00FA6258">
              <w:rPr>
                <w:webHidden/>
              </w:rPr>
              <w:fldChar w:fldCharType="begin"/>
            </w:r>
            <w:r w:rsidR="00FA6258">
              <w:rPr>
                <w:webHidden/>
              </w:rPr>
              <w:instrText xml:space="preserve"> PAGEREF _Toc198885544 \h </w:instrText>
            </w:r>
            <w:r w:rsidR="00FA6258">
              <w:rPr>
                <w:webHidden/>
              </w:rPr>
            </w:r>
            <w:r w:rsidR="00FA6258">
              <w:rPr>
                <w:webHidden/>
              </w:rPr>
              <w:fldChar w:fldCharType="separate"/>
            </w:r>
            <w:r w:rsidR="00FA6258">
              <w:rPr>
                <w:webHidden/>
              </w:rPr>
              <w:t>5</w:t>
            </w:r>
            <w:r w:rsidR="00FA6258">
              <w:rPr>
                <w:webHidden/>
              </w:rPr>
              <w:fldChar w:fldCharType="end"/>
            </w:r>
          </w:hyperlink>
        </w:p>
        <w:p w14:paraId="2EC5D7AB" w14:textId="3D993A2D" w:rsidR="00FA6258" w:rsidRDefault="0064397A">
          <w:pPr>
            <w:pStyle w:val="TOC2"/>
            <w:tabs>
              <w:tab w:val="right" w:leader="dot" w:pos="9016"/>
            </w:tabs>
            <w:rPr>
              <w:rFonts w:asciiTheme="minorHAnsi" w:eastAsiaTheme="minorEastAsia" w:hAnsiTheme="minorHAnsi"/>
              <w:noProof/>
              <w:szCs w:val="24"/>
              <w:lang w:eastAsia="en-GB"/>
            </w:rPr>
          </w:pPr>
          <w:hyperlink w:anchor="_Toc198885545" w:history="1">
            <w:r w:rsidR="00FA6258" w:rsidRPr="00DA31D8">
              <w:rPr>
                <w:rStyle w:val="Hyperlink"/>
                <w:rFonts w:ascii="Arial" w:hAnsi="Arial" w:cs="Arial"/>
                <w:noProof/>
              </w:rPr>
              <w:t>4.1 The role of internal and external stakeholders</w:t>
            </w:r>
            <w:r w:rsidR="00FA6258">
              <w:rPr>
                <w:noProof/>
                <w:webHidden/>
              </w:rPr>
              <w:tab/>
            </w:r>
            <w:r w:rsidR="00FA6258">
              <w:rPr>
                <w:noProof/>
                <w:webHidden/>
              </w:rPr>
              <w:fldChar w:fldCharType="begin"/>
            </w:r>
            <w:r w:rsidR="00FA6258">
              <w:rPr>
                <w:noProof/>
                <w:webHidden/>
              </w:rPr>
              <w:instrText xml:space="preserve"> PAGEREF _Toc198885545 \h </w:instrText>
            </w:r>
            <w:r w:rsidR="00FA6258">
              <w:rPr>
                <w:noProof/>
                <w:webHidden/>
              </w:rPr>
            </w:r>
            <w:r w:rsidR="00FA6258">
              <w:rPr>
                <w:noProof/>
                <w:webHidden/>
              </w:rPr>
              <w:fldChar w:fldCharType="separate"/>
            </w:r>
            <w:r w:rsidR="00FA6258">
              <w:rPr>
                <w:noProof/>
                <w:webHidden/>
              </w:rPr>
              <w:t>6</w:t>
            </w:r>
            <w:r w:rsidR="00FA6258">
              <w:rPr>
                <w:noProof/>
                <w:webHidden/>
              </w:rPr>
              <w:fldChar w:fldCharType="end"/>
            </w:r>
          </w:hyperlink>
        </w:p>
        <w:p w14:paraId="76EF8B37" w14:textId="486548C1" w:rsidR="00FA6258" w:rsidRDefault="0064397A">
          <w:pPr>
            <w:pStyle w:val="TOC2"/>
            <w:tabs>
              <w:tab w:val="right" w:leader="dot" w:pos="9016"/>
            </w:tabs>
            <w:rPr>
              <w:rFonts w:asciiTheme="minorHAnsi" w:eastAsiaTheme="minorEastAsia" w:hAnsiTheme="minorHAnsi"/>
              <w:noProof/>
              <w:szCs w:val="24"/>
              <w:lang w:eastAsia="en-GB"/>
            </w:rPr>
          </w:pPr>
          <w:hyperlink w:anchor="_Toc198885546" w:history="1">
            <w:r w:rsidR="00FA6258" w:rsidRPr="00DA31D8">
              <w:rPr>
                <w:rStyle w:val="Hyperlink"/>
                <w:rFonts w:ascii="Arial" w:hAnsi="Arial" w:cs="Arial"/>
                <w:noProof/>
              </w:rPr>
              <w:t>4.2 Ongoing alignment</w:t>
            </w:r>
            <w:r w:rsidR="00FA6258">
              <w:rPr>
                <w:noProof/>
                <w:webHidden/>
              </w:rPr>
              <w:tab/>
            </w:r>
            <w:r w:rsidR="00FA6258">
              <w:rPr>
                <w:noProof/>
                <w:webHidden/>
              </w:rPr>
              <w:fldChar w:fldCharType="begin"/>
            </w:r>
            <w:r w:rsidR="00FA6258">
              <w:rPr>
                <w:noProof/>
                <w:webHidden/>
              </w:rPr>
              <w:instrText xml:space="preserve"> PAGEREF _Toc198885546 \h </w:instrText>
            </w:r>
            <w:r w:rsidR="00FA6258">
              <w:rPr>
                <w:noProof/>
                <w:webHidden/>
              </w:rPr>
            </w:r>
            <w:r w:rsidR="00FA6258">
              <w:rPr>
                <w:noProof/>
                <w:webHidden/>
              </w:rPr>
              <w:fldChar w:fldCharType="separate"/>
            </w:r>
            <w:r w:rsidR="00FA6258">
              <w:rPr>
                <w:noProof/>
                <w:webHidden/>
              </w:rPr>
              <w:t>7</w:t>
            </w:r>
            <w:r w:rsidR="00FA6258">
              <w:rPr>
                <w:noProof/>
                <w:webHidden/>
              </w:rPr>
              <w:fldChar w:fldCharType="end"/>
            </w:r>
          </w:hyperlink>
        </w:p>
        <w:p w14:paraId="5EBCC3DA" w14:textId="231DFD6A" w:rsidR="00FA6258" w:rsidRDefault="0064397A">
          <w:pPr>
            <w:pStyle w:val="TOC1"/>
            <w:rPr>
              <w:rFonts w:asciiTheme="minorHAnsi" w:eastAsiaTheme="minorEastAsia" w:hAnsiTheme="minorHAnsi" w:cstheme="minorBidi"/>
              <w:szCs w:val="24"/>
              <w:lang w:eastAsia="en-GB"/>
            </w:rPr>
          </w:pPr>
          <w:hyperlink w:anchor="_Toc198885547" w:history="1">
            <w:r w:rsidR="00FA6258" w:rsidRPr="00DA31D8">
              <w:rPr>
                <w:rStyle w:val="Hyperlink"/>
              </w:rPr>
              <w:t>5. Role of local authority planners in preparing the LHEES and LAEP</w:t>
            </w:r>
            <w:r w:rsidR="00FA6258">
              <w:rPr>
                <w:webHidden/>
              </w:rPr>
              <w:tab/>
            </w:r>
            <w:r w:rsidR="00FA6258">
              <w:rPr>
                <w:webHidden/>
              </w:rPr>
              <w:fldChar w:fldCharType="begin"/>
            </w:r>
            <w:r w:rsidR="00FA6258">
              <w:rPr>
                <w:webHidden/>
              </w:rPr>
              <w:instrText xml:space="preserve"> PAGEREF _Toc198885547 \h </w:instrText>
            </w:r>
            <w:r w:rsidR="00FA6258">
              <w:rPr>
                <w:webHidden/>
              </w:rPr>
            </w:r>
            <w:r w:rsidR="00FA6258">
              <w:rPr>
                <w:webHidden/>
              </w:rPr>
              <w:fldChar w:fldCharType="separate"/>
            </w:r>
            <w:r w:rsidR="00FA6258">
              <w:rPr>
                <w:webHidden/>
              </w:rPr>
              <w:t>7</w:t>
            </w:r>
            <w:r w:rsidR="00FA6258">
              <w:rPr>
                <w:webHidden/>
              </w:rPr>
              <w:fldChar w:fldCharType="end"/>
            </w:r>
          </w:hyperlink>
        </w:p>
        <w:p w14:paraId="0AB25A3D" w14:textId="0EEDCB2B" w:rsidR="00FA6258" w:rsidRDefault="0064397A">
          <w:pPr>
            <w:pStyle w:val="TOC2"/>
            <w:tabs>
              <w:tab w:val="right" w:leader="dot" w:pos="9016"/>
            </w:tabs>
            <w:rPr>
              <w:rFonts w:asciiTheme="minorHAnsi" w:eastAsiaTheme="minorEastAsia" w:hAnsiTheme="minorHAnsi"/>
              <w:noProof/>
              <w:szCs w:val="24"/>
              <w:lang w:eastAsia="en-GB"/>
            </w:rPr>
          </w:pPr>
          <w:hyperlink w:anchor="_Toc198885548" w:history="1">
            <w:r w:rsidR="00FA6258" w:rsidRPr="00DA31D8">
              <w:rPr>
                <w:rStyle w:val="Hyperlink"/>
                <w:rFonts w:ascii="Arial" w:hAnsi="Arial" w:cs="Arial"/>
                <w:noProof/>
              </w:rPr>
              <w:t>5.1 Integration of LHEES and LAEP with the emerging Local Development Plan (LDP)</w:t>
            </w:r>
            <w:r w:rsidR="00FA6258">
              <w:rPr>
                <w:noProof/>
                <w:webHidden/>
              </w:rPr>
              <w:tab/>
            </w:r>
            <w:r w:rsidR="00FA6258">
              <w:rPr>
                <w:noProof/>
                <w:webHidden/>
              </w:rPr>
              <w:fldChar w:fldCharType="begin"/>
            </w:r>
            <w:r w:rsidR="00FA6258">
              <w:rPr>
                <w:noProof/>
                <w:webHidden/>
              </w:rPr>
              <w:instrText xml:space="preserve"> PAGEREF _Toc198885548 \h </w:instrText>
            </w:r>
            <w:r w:rsidR="00FA6258">
              <w:rPr>
                <w:noProof/>
                <w:webHidden/>
              </w:rPr>
            </w:r>
            <w:r w:rsidR="00FA6258">
              <w:rPr>
                <w:noProof/>
                <w:webHidden/>
              </w:rPr>
              <w:fldChar w:fldCharType="separate"/>
            </w:r>
            <w:r w:rsidR="00FA6258">
              <w:rPr>
                <w:noProof/>
                <w:webHidden/>
              </w:rPr>
              <w:t>7</w:t>
            </w:r>
            <w:r w:rsidR="00FA6258">
              <w:rPr>
                <w:noProof/>
                <w:webHidden/>
              </w:rPr>
              <w:fldChar w:fldCharType="end"/>
            </w:r>
          </w:hyperlink>
        </w:p>
        <w:p w14:paraId="773C9A0B" w14:textId="547455F3" w:rsidR="00FA6258" w:rsidRDefault="0064397A">
          <w:pPr>
            <w:pStyle w:val="TOC2"/>
            <w:tabs>
              <w:tab w:val="right" w:leader="dot" w:pos="9016"/>
            </w:tabs>
            <w:rPr>
              <w:rFonts w:asciiTheme="minorHAnsi" w:eastAsiaTheme="minorEastAsia" w:hAnsiTheme="minorHAnsi"/>
              <w:noProof/>
              <w:szCs w:val="24"/>
              <w:lang w:eastAsia="en-GB"/>
            </w:rPr>
          </w:pPr>
          <w:hyperlink w:anchor="_Toc198885549" w:history="1">
            <w:r w:rsidR="00FA6258" w:rsidRPr="00DA31D8">
              <w:rPr>
                <w:rStyle w:val="Hyperlink"/>
                <w:rFonts w:ascii="Arial" w:hAnsi="Arial" w:cs="Arial"/>
                <w:noProof/>
              </w:rPr>
              <w:t>5.2 Evidence-based planning for energy, heat, and cooling</w:t>
            </w:r>
            <w:r w:rsidR="00FA6258">
              <w:rPr>
                <w:noProof/>
                <w:webHidden/>
              </w:rPr>
              <w:tab/>
            </w:r>
            <w:r w:rsidR="00FA6258">
              <w:rPr>
                <w:noProof/>
                <w:webHidden/>
              </w:rPr>
              <w:fldChar w:fldCharType="begin"/>
            </w:r>
            <w:r w:rsidR="00FA6258">
              <w:rPr>
                <w:noProof/>
                <w:webHidden/>
              </w:rPr>
              <w:instrText xml:space="preserve"> PAGEREF _Toc198885549 \h </w:instrText>
            </w:r>
            <w:r w:rsidR="00FA6258">
              <w:rPr>
                <w:noProof/>
                <w:webHidden/>
              </w:rPr>
            </w:r>
            <w:r w:rsidR="00FA6258">
              <w:rPr>
                <w:noProof/>
                <w:webHidden/>
              </w:rPr>
              <w:fldChar w:fldCharType="separate"/>
            </w:r>
            <w:r w:rsidR="00FA6258">
              <w:rPr>
                <w:noProof/>
                <w:webHidden/>
              </w:rPr>
              <w:t>8</w:t>
            </w:r>
            <w:r w:rsidR="00FA6258">
              <w:rPr>
                <w:noProof/>
                <w:webHidden/>
              </w:rPr>
              <w:fldChar w:fldCharType="end"/>
            </w:r>
          </w:hyperlink>
        </w:p>
        <w:p w14:paraId="6AEE8790" w14:textId="73245892" w:rsidR="00FA6258" w:rsidRDefault="0064397A">
          <w:pPr>
            <w:pStyle w:val="TOC2"/>
            <w:tabs>
              <w:tab w:val="right" w:leader="dot" w:pos="9016"/>
            </w:tabs>
            <w:rPr>
              <w:rFonts w:asciiTheme="minorHAnsi" w:eastAsiaTheme="minorEastAsia" w:hAnsiTheme="minorHAnsi"/>
              <w:noProof/>
              <w:szCs w:val="24"/>
              <w:lang w:eastAsia="en-GB"/>
            </w:rPr>
          </w:pPr>
          <w:hyperlink w:anchor="_Toc198885550" w:history="1">
            <w:r w:rsidR="00FA6258" w:rsidRPr="00DA31D8">
              <w:rPr>
                <w:rStyle w:val="Hyperlink"/>
                <w:rFonts w:ascii="Arial" w:hAnsi="Arial" w:cs="Arial"/>
                <w:noProof/>
              </w:rPr>
              <w:t>5.3 Heat decarbonisation</w:t>
            </w:r>
            <w:r w:rsidR="00FA6258">
              <w:rPr>
                <w:noProof/>
                <w:webHidden/>
              </w:rPr>
              <w:tab/>
            </w:r>
            <w:r w:rsidR="00FA6258">
              <w:rPr>
                <w:noProof/>
                <w:webHidden/>
              </w:rPr>
              <w:fldChar w:fldCharType="begin"/>
            </w:r>
            <w:r w:rsidR="00FA6258">
              <w:rPr>
                <w:noProof/>
                <w:webHidden/>
              </w:rPr>
              <w:instrText xml:space="preserve"> PAGEREF _Toc198885550 \h </w:instrText>
            </w:r>
            <w:r w:rsidR="00FA6258">
              <w:rPr>
                <w:noProof/>
                <w:webHidden/>
              </w:rPr>
            </w:r>
            <w:r w:rsidR="00FA6258">
              <w:rPr>
                <w:noProof/>
                <w:webHidden/>
              </w:rPr>
              <w:fldChar w:fldCharType="separate"/>
            </w:r>
            <w:r w:rsidR="00FA6258">
              <w:rPr>
                <w:noProof/>
                <w:webHidden/>
              </w:rPr>
              <w:t>9</w:t>
            </w:r>
            <w:r w:rsidR="00FA6258">
              <w:rPr>
                <w:noProof/>
                <w:webHidden/>
              </w:rPr>
              <w:fldChar w:fldCharType="end"/>
            </w:r>
          </w:hyperlink>
        </w:p>
        <w:p w14:paraId="5BD38AFC" w14:textId="782C6511" w:rsidR="00FA6258" w:rsidRDefault="0064397A">
          <w:pPr>
            <w:pStyle w:val="TOC1"/>
            <w:rPr>
              <w:rFonts w:asciiTheme="minorHAnsi" w:eastAsiaTheme="minorEastAsia" w:hAnsiTheme="minorHAnsi" w:cstheme="minorBidi"/>
              <w:szCs w:val="24"/>
              <w:lang w:eastAsia="en-GB"/>
            </w:rPr>
          </w:pPr>
          <w:hyperlink w:anchor="_Toc198885551" w:history="1">
            <w:r w:rsidR="00FA6258" w:rsidRPr="00DA31D8">
              <w:rPr>
                <w:rStyle w:val="Hyperlink"/>
              </w:rPr>
              <w:t>6. Key recommendations from this case study</w:t>
            </w:r>
            <w:r w:rsidR="00FA6258">
              <w:rPr>
                <w:webHidden/>
              </w:rPr>
              <w:tab/>
            </w:r>
            <w:r w:rsidR="00FA6258">
              <w:rPr>
                <w:webHidden/>
              </w:rPr>
              <w:fldChar w:fldCharType="begin"/>
            </w:r>
            <w:r w:rsidR="00FA6258">
              <w:rPr>
                <w:webHidden/>
              </w:rPr>
              <w:instrText xml:space="preserve"> PAGEREF _Toc198885551 \h </w:instrText>
            </w:r>
            <w:r w:rsidR="00FA6258">
              <w:rPr>
                <w:webHidden/>
              </w:rPr>
            </w:r>
            <w:r w:rsidR="00FA6258">
              <w:rPr>
                <w:webHidden/>
              </w:rPr>
              <w:fldChar w:fldCharType="separate"/>
            </w:r>
            <w:r w:rsidR="00FA6258">
              <w:rPr>
                <w:webHidden/>
              </w:rPr>
              <w:t>9</w:t>
            </w:r>
            <w:r w:rsidR="00FA6258">
              <w:rPr>
                <w:webHidden/>
              </w:rPr>
              <w:fldChar w:fldCharType="end"/>
            </w:r>
          </w:hyperlink>
        </w:p>
        <w:p w14:paraId="5D87C022" w14:textId="5C3BD927" w:rsidR="00FA6258" w:rsidRDefault="0064397A">
          <w:pPr>
            <w:pStyle w:val="TOC2"/>
            <w:tabs>
              <w:tab w:val="right" w:leader="dot" w:pos="9016"/>
            </w:tabs>
            <w:rPr>
              <w:rFonts w:asciiTheme="minorHAnsi" w:eastAsiaTheme="minorEastAsia" w:hAnsiTheme="minorHAnsi"/>
              <w:noProof/>
              <w:szCs w:val="24"/>
              <w:lang w:eastAsia="en-GB"/>
            </w:rPr>
          </w:pPr>
          <w:hyperlink w:anchor="_Toc198885552" w:history="1">
            <w:r w:rsidR="00FA6258" w:rsidRPr="00DA31D8">
              <w:rPr>
                <w:rStyle w:val="Hyperlink"/>
                <w:rFonts w:ascii="Arial" w:hAnsi="Arial" w:cs="Arial"/>
                <w:noProof/>
              </w:rPr>
              <w:t>6.1 Timing and alignment of the LHEES and LAEP with the local plan</w:t>
            </w:r>
            <w:r w:rsidR="00FA6258">
              <w:rPr>
                <w:noProof/>
                <w:webHidden/>
              </w:rPr>
              <w:tab/>
            </w:r>
            <w:r w:rsidR="00FA6258">
              <w:rPr>
                <w:noProof/>
                <w:webHidden/>
              </w:rPr>
              <w:fldChar w:fldCharType="begin"/>
            </w:r>
            <w:r w:rsidR="00FA6258">
              <w:rPr>
                <w:noProof/>
                <w:webHidden/>
              </w:rPr>
              <w:instrText xml:space="preserve"> PAGEREF _Toc198885552 \h </w:instrText>
            </w:r>
            <w:r w:rsidR="00FA6258">
              <w:rPr>
                <w:noProof/>
                <w:webHidden/>
              </w:rPr>
            </w:r>
            <w:r w:rsidR="00FA6258">
              <w:rPr>
                <w:noProof/>
                <w:webHidden/>
              </w:rPr>
              <w:fldChar w:fldCharType="separate"/>
            </w:r>
            <w:r w:rsidR="00FA6258">
              <w:rPr>
                <w:noProof/>
                <w:webHidden/>
              </w:rPr>
              <w:t>9</w:t>
            </w:r>
            <w:r w:rsidR="00FA6258">
              <w:rPr>
                <w:noProof/>
                <w:webHidden/>
              </w:rPr>
              <w:fldChar w:fldCharType="end"/>
            </w:r>
          </w:hyperlink>
        </w:p>
        <w:p w14:paraId="3BE2C958" w14:textId="353109AE" w:rsidR="00FA6258" w:rsidRDefault="0064397A">
          <w:pPr>
            <w:pStyle w:val="TOC2"/>
            <w:tabs>
              <w:tab w:val="right" w:leader="dot" w:pos="9016"/>
            </w:tabs>
            <w:rPr>
              <w:rFonts w:asciiTheme="minorHAnsi" w:eastAsiaTheme="minorEastAsia" w:hAnsiTheme="minorHAnsi"/>
              <w:noProof/>
              <w:szCs w:val="24"/>
              <w:lang w:eastAsia="en-GB"/>
            </w:rPr>
          </w:pPr>
          <w:hyperlink w:anchor="_Toc198885553" w:history="1">
            <w:r w:rsidR="00FA6258" w:rsidRPr="00DA31D8">
              <w:rPr>
                <w:rStyle w:val="Hyperlink"/>
                <w:rFonts w:ascii="Arial" w:hAnsi="Arial" w:cs="Arial"/>
                <w:noProof/>
              </w:rPr>
              <w:t>6.2 Consideration of alignment with national town planning policy</w:t>
            </w:r>
            <w:r w:rsidR="00FA6258">
              <w:rPr>
                <w:noProof/>
                <w:webHidden/>
              </w:rPr>
              <w:tab/>
            </w:r>
            <w:r w:rsidR="00FA6258">
              <w:rPr>
                <w:noProof/>
                <w:webHidden/>
              </w:rPr>
              <w:fldChar w:fldCharType="begin"/>
            </w:r>
            <w:r w:rsidR="00FA6258">
              <w:rPr>
                <w:noProof/>
                <w:webHidden/>
              </w:rPr>
              <w:instrText xml:space="preserve"> PAGEREF _Toc198885553 \h </w:instrText>
            </w:r>
            <w:r w:rsidR="00FA6258">
              <w:rPr>
                <w:noProof/>
                <w:webHidden/>
              </w:rPr>
            </w:r>
            <w:r w:rsidR="00FA6258">
              <w:rPr>
                <w:noProof/>
                <w:webHidden/>
              </w:rPr>
              <w:fldChar w:fldCharType="separate"/>
            </w:r>
            <w:r w:rsidR="00FA6258">
              <w:rPr>
                <w:noProof/>
                <w:webHidden/>
              </w:rPr>
              <w:t>9</w:t>
            </w:r>
            <w:r w:rsidR="00FA6258">
              <w:rPr>
                <w:noProof/>
                <w:webHidden/>
              </w:rPr>
              <w:fldChar w:fldCharType="end"/>
            </w:r>
          </w:hyperlink>
        </w:p>
        <w:p w14:paraId="06530B84" w14:textId="0F80401F" w:rsidR="00FA6258" w:rsidRDefault="0064397A">
          <w:pPr>
            <w:pStyle w:val="TOC2"/>
            <w:tabs>
              <w:tab w:val="right" w:leader="dot" w:pos="9016"/>
            </w:tabs>
            <w:rPr>
              <w:rFonts w:asciiTheme="minorHAnsi" w:eastAsiaTheme="minorEastAsia" w:hAnsiTheme="minorHAnsi"/>
              <w:noProof/>
              <w:szCs w:val="24"/>
              <w:lang w:eastAsia="en-GB"/>
            </w:rPr>
          </w:pPr>
          <w:hyperlink w:anchor="_Toc198885554" w:history="1">
            <w:r w:rsidR="00FA6258" w:rsidRPr="00DA31D8">
              <w:rPr>
                <w:rStyle w:val="Hyperlink"/>
                <w:rFonts w:ascii="Arial" w:hAnsi="Arial" w:cs="Arial"/>
                <w:noProof/>
              </w:rPr>
              <w:t>6.3 The need for future investment in renewable energy and heat projects</w:t>
            </w:r>
            <w:r w:rsidR="00FA6258">
              <w:rPr>
                <w:noProof/>
                <w:webHidden/>
              </w:rPr>
              <w:tab/>
            </w:r>
            <w:r w:rsidR="00FA6258">
              <w:rPr>
                <w:noProof/>
                <w:webHidden/>
              </w:rPr>
              <w:fldChar w:fldCharType="begin"/>
            </w:r>
            <w:r w:rsidR="00FA6258">
              <w:rPr>
                <w:noProof/>
                <w:webHidden/>
              </w:rPr>
              <w:instrText xml:space="preserve"> PAGEREF _Toc198885554 \h </w:instrText>
            </w:r>
            <w:r w:rsidR="00FA6258">
              <w:rPr>
                <w:noProof/>
                <w:webHidden/>
              </w:rPr>
            </w:r>
            <w:r w:rsidR="00FA6258">
              <w:rPr>
                <w:noProof/>
                <w:webHidden/>
              </w:rPr>
              <w:fldChar w:fldCharType="separate"/>
            </w:r>
            <w:r w:rsidR="00FA6258">
              <w:rPr>
                <w:noProof/>
                <w:webHidden/>
              </w:rPr>
              <w:t>9</w:t>
            </w:r>
            <w:r w:rsidR="00FA6258">
              <w:rPr>
                <w:noProof/>
                <w:webHidden/>
              </w:rPr>
              <w:fldChar w:fldCharType="end"/>
            </w:r>
          </w:hyperlink>
        </w:p>
        <w:p w14:paraId="3AED7290" w14:textId="5B604374" w:rsidR="00FA6258" w:rsidRDefault="0064397A">
          <w:pPr>
            <w:pStyle w:val="TOC1"/>
            <w:rPr>
              <w:rFonts w:asciiTheme="minorHAnsi" w:eastAsiaTheme="minorEastAsia" w:hAnsiTheme="minorHAnsi" w:cstheme="minorBidi"/>
              <w:szCs w:val="24"/>
              <w:lang w:eastAsia="en-GB"/>
            </w:rPr>
          </w:pPr>
          <w:hyperlink w:anchor="_Toc198885555" w:history="1">
            <w:r w:rsidR="00FA6258" w:rsidRPr="00DA31D8">
              <w:rPr>
                <w:rStyle w:val="Hyperlink"/>
              </w:rPr>
              <w:t>RTPI - Royal Town Planning Institute</w:t>
            </w:r>
            <w:r w:rsidR="00FA6258">
              <w:rPr>
                <w:webHidden/>
              </w:rPr>
              <w:tab/>
            </w:r>
            <w:r w:rsidR="00FA6258">
              <w:rPr>
                <w:webHidden/>
              </w:rPr>
              <w:fldChar w:fldCharType="begin"/>
            </w:r>
            <w:r w:rsidR="00FA6258">
              <w:rPr>
                <w:webHidden/>
              </w:rPr>
              <w:instrText xml:space="preserve"> PAGEREF _Toc198885555 \h </w:instrText>
            </w:r>
            <w:r w:rsidR="00FA6258">
              <w:rPr>
                <w:webHidden/>
              </w:rPr>
            </w:r>
            <w:r w:rsidR="00FA6258">
              <w:rPr>
                <w:webHidden/>
              </w:rPr>
              <w:fldChar w:fldCharType="separate"/>
            </w:r>
            <w:r w:rsidR="00FA6258">
              <w:rPr>
                <w:webHidden/>
              </w:rPr>
              <w:t>10</w:t>
            </w:r>
            <w:r w:rsidR="00FA6258">
              <w:rPr>
                <w:webHidden/>
              </w:rPr>
              <w:fldChar w:fldCharType="end"/>
            </w:r>
          </w:hyperlink>
        </w:p>
        <w:p w14:paraId="493AF683" w14:textId="4250CD36" w:rsidR="00C408AE" w:rsidRPr="001831A5" w:rsidRDefault="00C408AE" w:rsidP="00C408AE">
          <w:pPr>
            <w:rPr>
              <w:b/>
              <w:bCs/>
              <w:noProof/>
              <w:szCs w:val="24"/>
            </w:rPr>
          </w:pPr>
          <w:r w:rsidRPr="00862B2C">
            <w:rPr>
              <w:rFonts w:ascii="Arial" w:hAnsi="Arial" w:cs="Arial"/>
              <w:b/>
              <w:bCs/>
              <w:noProof/>
              <w:szCs w:val="24"/>
            </w:rPr>
            <w:fldChar w:fldCharType="end"/>
          </w:r>
        </w:p>
      </w:sdtContent>
    </w:sdt>
    <w:p w14:paraId="45A688DE" w14:textId="1861D94E" w:rsidR="009911C9" w:rsidRPr="003D1B96" w:rsidRDefault="009911C9" w:rsidP="00C408AE">
      <w:pPr>
        <w:pStyle w:val="Heading1"/>
        <w:numPr>
          <w:ilvl w:val="0"/>
          <w:numId w:val="0"/>
        </w:numPr>
        <w:rPr>
          <w:rFonts w:ascii="Arial" w:hAnsi="Arial" w:cs="Arial"/>
          <w:b w:val="0"/>
          <w:bCs/>
          <w:noProof/>
        </w:rPr>
      </w:pPr>
    </w:p>
    <w:p w14:paraId="4580C6B0" w14:textId="233CA48F" w:rsidR="00B53BCB" w:rsidRPr="003D1B96" w:rsidRDefault="00B53BCB" w:rsidP="00396221">
      <w:pPr>
        <w:pStyle w:val="Heading1"/>
        <w:numPr>
          <w:ilvl w:val="0"/>
          <w:numId w:val="0"/>
        </w:numPr>
        <w:spacing w:line="360" w:lineRule="auto"/>
        <w:ind w:left="432"/>
        <w:rPr>
          <w:rFonts w:ascii="Arial" w:hAnsi="Arial" w:cs="Arial"/>
        </w:rPr>
      </w:pPr>
    </w:p>
    <w:p w14:paraId="160D35A7" w14:textId="77777777" w:rsidR="005C5E4D" w:rsidRPr="003D1B96" w:rsidRDefault="005C5E4D" w:rsidP="002376B9">
      <w:pPr>
        <w:spacing w:line="360" w:lineRule="auto"/>
        <w:rPr>
          <w:rFonts w:ascii="Arial" w:hAnsi="Arial" w:cs="Arial"/>
        </w:rPr>
      </w:pPr>
    </w:p>
    <w:p w14:paraId="08A690CA" w14:textId="0FD4D2FE" w:rsidR="00BE38A7" w:rsidRDefault="00FA6258" w:rsidP="00FA6258">
      <w:pPr>
        <w:pStyle w:val="Heading1"/>
        <w:numPr>
          <w:ilvl w:val="0"/>
          <w:numId w:val="0"/>
        </w:numPr>
        <w:spacing w:line="360" w:lineRule="auto"/>
        <w:ind w:left="432" w:hanging="432"/>
        <w:rPr>
          <w:rFonts w:ascii="Arial" w:hAnsi="Arial" w:cs="Arial"/>
        </w:rPr>
      </w:pPr>
      <w:bookmarkStart w:id="20" w:name="_Toc198637753"/>
      <w:bookmarkStart w:id="21" w:name="_Toc198642517"/>
      <w:bookmarkStart w:id="22" w:name="_Toc198885539"/>
      <w:r>
        <w:rPr>
          <w:rFonts w:ascii="Arial" w:hAnsi="Arial" w:cs="Arial"/>
        </w:rPr>
        <w:lastRenderedPageBreak/>
        <w:t xml:space="preserve">1. </w:t>
      </w:r>
      <w:r w:rsidR="00B35B24">
        <w:rPr>
          <w:rFonts w:ascii="Arial" w:hAnsi="Arial" w:cs="Arial"/>
        </w:rPr>
        <w:t>Case study s</w:t>
      </w:r>
      <w:r w:rsidR="00D35FE1" w:rsidRPr="003D1B96">
        <w:rPr>
          <w:rFonts w:ascii="Arial" w:hAnsi="Arial" w:cs="Arial"/>
        </w:rPr>
        <w:t>ummary</w:t>
      </w:r>
      <w:bookmarkEnd w:id="20"/>
      <w:bookmarkEnd w:id="21"/>
      <w:bookmarkEnd w:id="22"/>
    </w:p>
    <w:p w14:paraId="271EBDC9" w14:textId="77777777" w:rsidR="000B258C" w:rsidRPr="000B258C" w:rsidRDefault="000B258C" w:rsidP="000B258C">
      <w:pPr>
        <w:pStyle w:val="ListParagraph"/>
        <w:numPr>
          <w:ilvl w:val="0"/>
          <w:numId w:val="14"/>
        </w:numPr>
        <w:spacing w:after="0" w:line="360" w:lineRule="auto"/>
        <w:rPr>
          <w:rFonts w:ascii="Arial" w:hAnsi="Arial" w:cs="Arial"/>
        </w:rPr>
      </w:pPr>
      <w:r w:rsidRPr="000B258C">
        <w:rPr>
          <w:rFonts w:ascii="Arial" w:hAnsi="Arial" w:cs="Arial"/>
        </w:rPr>
        <w:t>Perth and Kinross Council have published both a Local Heat and Energy Efficiency Strategy (LHEES) and a Local Area Energy Plan (LAEP). They are now in the process of updating their local development plan.</w:t>
      </w:r>
    </w:p>
    <w:p w14:paraId="61638084" w14:textId="77777777" w:rsidR="000B258C" w:rsidRPr="000B258C" w:rsidRDefault="000B258C" w:rsidP="000B258C">
      <w:pPr>
        <w:pStyle w:val="ListParagraph"/>
        <w:numPr>
          <w:ilvl w:val="0"/>
          <w:numId w:val="14"/>
        </w:numPr>
        <w:spacing w:after="0" w:line="360" w:lineRule="auto"/>
        <w:rPr>
          <w:rFonts w:ascii="Arial" w:hAnsi="Arial" w:cs="Arial"/>
        </w:rPr>
      </w:pPr>
      <w:r w:rsidRPr="000B258C">
        <w:rPr>
          <w:rFonts w:ascii="Arial" w:hAnsi="Arial" w:cs="Arial"/>
        </w:rPr>
        <w:t>This case study illustrates the benefits of fully involving the local authority planning team in the development of the LHEES and LAEP.</w:t>
      </w:r>
    </w:p>
    <w:p w14:paraId="5371B97E" w14:textId="79AFCD1E" w:rsidR="00F00962" w:rsidRPr="000B258C" w:rsidRDefault="000B258C" w:rsidP="00F00962">
      <w:pPr>
        <w:pStyle w:val="ListParagraph"/>
        <w:numPr>
          <w:ilvl w:val="0"/>
          <w:numId w:val="14"/>
        </w:numPr>
        <w:spacing w:after="0" w:line="360" w:lineRule="auto"/>
        <w:rPr>
          <w:rFonts w:ascii="Arial" w:hAnsi="Arial" w:cs="Arial"/>
        </w:rPr>
      </w:pPr>
      <w:r w:rsidRPr="000B258C">
        <w:rPr>
          <w:rFonts w:ascii="Arial" w:hAnsi="Arial" w:cs="Arial"/>
        </w:rPr>
        <w:t xml:space="preserve">The example provides useful recommendations regarding the need to align energy and spatial plans and the need for closer alignment with national town planning policy. </w:t>
      </w:r>
    </w:p>
    <w:p w14:paraId="7071E1B7" w14:textId="0AF52CCC" w:rsidR="00F564F2" w:rsidRPr="00F564F2" w:rsidRDefault="00FA6258" w:rsidP="00FA6258">
      <w:pPr>
        <w:pStyle w:val="Heading1"/>
        <w:numPr>
          <w:ilvl w:val="0"/>
          <w:numId w:val="0"/>
        </w:numPr>
        <w:spacing w:line="276" w:lineRule="auto"/>
        <w:ind w:left="432" w:hanging="432"/>
        <w:rPr>
          <w:rFonts w:ascii="Arial" w:hAnsi="Arial" w:cs="Arial"/>
        </w:rPr>
      </w:pPr>
      <w:bookmarkStart w:id="23" w:name="_Toc193807059"/>
      <w:bookmarkStart w:id="24" w:name="_Toc193808810"/>
      <w:bookmarkStart w:id="25" w:name="_Toc198631584"/>
      <w:bookmarkStart w:id="26" w:name="_Toc198885540"/>
      <w:r>
        <w:rPr>
          <w:rFonts w:ascii="Arial" w:hAnsi="Arial" w:cs="Arial"/>
        </w:rPr>
        <w:t xml:space="preserve">2. </w:t>
      </w:r>
      <w:r w:rsidR="00F564F2" w:rsidRPr="00F564F2">
        <w:rPr>
          <w:rFonts w:ascii="Arial" w:hAnsi="Arial" w:cs="Arial"/>
        </w:rPr>
        <w:t>Context: Local Heat and Energy Efficiency Strategies (LHEES) in Scotland</w:t>
      </w:r>
      <w:bookmarkEnd w:id="23"/>
      <w:bookmarkEnd w:id="24"/>
      <w:bookmarkEnd w:id="25"/>
      <w:bookmarkEnd w:id="26"/>
    </w:p>
    <w:p w14:paraId="4EBA951D" w14:textId="22152E6E" w:rsidR="00F564F2" w:rsidRDefault="00F564F2" w:rsidP="00F564F2">
      <w:pPr>
        <w:spacing w:after="0" w:line="360" w:lineRule="auto"/>
        <w:rPr>
          <w:rFonts w:ascii="Arial" w:hAnsi="Arial" w:cs="Arial"/>
        </w:rPr>
      </w:pPr>
      <w:r w:rsidRPr="00F564F2">
        <w:rPr>
          <w:rFonts w:ascii="Arial" w:hAnsi="Arial" w:cs="Arial"/>
        </w:rPr>
        <w:t>Perth and Kinross Council, along with all other local authorities in Scotland, has a statutory duty to develop a LHEES and update it every five years. The LHEES is intended to provide a long-term framework for enhancing energy efficiency and lowering greenhouse gas emissions from heating systems in buildings and to align with both national and local targets. A LHEES must include both a strategy and a delivery plan, ensuring a structured approach to achieving these goals. Although LAEPs are not a statutory requirement, Perth and Kinross Council opted to develop a LAEP alongside the LHEES to support a more comprehensive approach to local energy planning.</w:t>
      </w:r>
      <w:bookmarkStart w:id="27" w:name="_Toc197680868"/>
      <w:bookmarkStart w:id="28" w:name="_Toc198637768"/>
      <w:bookmarkStart w:id="29" w:name="_Toc198642532"/>
    </w:p>
    <w:p w14:paraId="0811DEB7" w14:textId="4E8AE517" w:rsidR="009A602E" w:rsidRPr="009A602E" w:rsidRDefault="00FA6258" w:rsidP="00FA6258">
      <w:pPr>
        <w:pStyle w:val="Heading1"/>
        <w:numPr>
          <w:ilvl w:val="0"/>
          <w:numId w:val="0"/>
        </w:numPr>
        <w:spacing w:line="276" w:lineRule="auto"/>
        <w:ind w:left="432" w:hanging="432"/>
        <w:rPr>
          <w:rFonts w:ascii="Arial" w:hAnsi="Arial" w:cs="Arial"/>
        </w:rPr>
      </w:pPr>
      <w:bookmarkStart w:id="30" w:name="_Toc193807060"/>
      <w:bookmarkStart w:id="31" w:name="_Toc193808811"/>
      <w:bookmarkStart w:id="32" w:name="_Toc198631585"/>
      <w:bookmarkStart w:id="33" w:name="_Toc198885541"/>
      <w:r>
        <w:rPr>
          <w:rFonts w:ascii="Arial" w:hAnsi="Arial" w:cs="Arial"/>
        </w:rPr>
        <w:t xml:space="preserve">3. </w:t>
      </w:r>
      <w:r w:rsidR="009A602E" w:rsidRPr="009A602E">
        <w:rPr>
          <w:rFonts w:ascii="Arial" w:hAnsi="Arial" w:cs="Arial"/>
        </w:rPr>
        <w:t>Development of the LHEES and Local Area Energy Plans (LAEP</w:t>
      </w:r>
      <w:bookmarkEnd w:id="30"/>
      <w:bookmarkEnd w:id="31"/>
      <w:r w:rsidR="009A602E" w:rsidRPr="009A602E">
        <w:rPr>
          <w:rFonts w:ascii="Arial" w:hAnsi="Arial" w:cs="Arial"/>
        </w:rPr>
        <w:t>s)</w:t>
      </w:r>
      <w:bookmarkEnd w:id="32"/>
      <w:bookmarkEnd w:id="33"/>
    </w:p>
    <w:p w14:paraId="3099CAAE" w14:textId="5F2FCBE1" w:rsidR="009A602E" w:rsidRPr="009A602E" w:rsidRDefault="00FA6258" w:rsidP="00FA6258">
      <w:pPr>
        <w:pStyle w:val="Heading2"/>
        <w:numPr>
          <w:ilvl w:val="0"/>
          <w:numId w:val="0"/>
        </w:numPr>
        <w:ind w:left="576" w:hanging="576"/>
        <w:rPr>
          <w:rFonts w:ascii="Arial" w:hAnsi="Arial" w:cs="Arial"/>
        </w:rPr>
      </w:pPr>
      <w:bookmarkStart w:id="34" w:name="_Toc193808812"/>
      <w:bookmarkStart w:id="35" w:name="_Toc198631586"/>
      <w:bookmarkStart w:id="36" w:name="_Toc198885542"/>
      <w:r>
        <w:rPr>
          <w:rFonts w:ascii="Arial" w:hAnsi="Arial" w:cs="Arial"/>
        </w:rPr>
        <w:t xml:space="preserve">3.1 </w:t>
      </w:r>
      <w:r w:rsidR="009A602E" w:rsidRPr="009A602E">
        <w:rPr>
          <w:rFonts w:ascii="Arial" w:hAnsi="Arial" w:cs="Arial"/>
        </w:rPr>
        <w:t>LHEES</w:t>
      </w:r>
      <w:bookmarkEnd w:id="34"/>
      <w:bookmarkEnd w:id="35"/>
      <w:bookmarkEnd w:id="36"/>
    </w:p>
    <w:p w14:paraId="17013188" w14:textId="77777777" w:rsidR="009A602E" w:rsidRPr="009A602E" w:rsidRDefault="009A602E" w:rsidP="009A602E">
      <w:pPr>
        <w:spacing w:line="360" w:lineRule="auto"/>
        <w:rPr>
          <w:rFonts w:ascii="Arial" w:hAnsi="Arial" w:cs="Arial"/>
        </w:rPr>
      </w:pPr>
      <w:r w:rsidRPr="009A602E">
        <w:rPr>
          <w:rFonts w:ascii="Arial" w:hAnsi="Arial" w:cs="Arial"/>
        </w:rPr>
        <w:t>The statutory requirement to develop a LHEES, with a December 2023 deadline, accelerated the council’s development of work in this area and raised the strategy’s priority within the council. The strategic timeframe for the LHEES spans from 2024 to 2045, with a focused delivery plan for 2024 to 2029, ensuring that the delivery aligns with both immediate targets and long-term objectives.</w:t>
      </w:r>
    </w:p>
    <w:p w14:paraId="23D5EA5A" w14:textId="77777777" w:rsidR="009A602E" w:rsidRPr="009A602E" w:rsidRDefault="009A602E" w:rsidP="009A602E">
      <w:pPr>
        <w:spacing w:line="360" w:lineRule="auto"/>
        <w:rPr>
          <w:rFonts w:ascii="Arial" w:hAnsi="Arial" w:cs="Arial"/>
        </w:rPr>
      </w:pPr>
      <w:r w:rsidRPr="009A602E">
        <w:rPr>
          <w:rFonts w:ascii="Arial" w:hAnsi="Arial" w:cs="Arial"/>
        </w:rPr>
        <w:t xml:space="preserve">The strategic priorities for the LHEES included improving building energy efficiency and decarbonising through a focus on both heat networks and heat pumps. In alignment with Scottish Government priorities, the local authority participated in heat network zoning initiatives. Initial assessments for zoning were conducted by the </w:t>
      </w:r>
      <w:r w:rsidRPr="009A602E">
        <w:rPr>
          <w:rFonts w:ascii="Arial" w:hAnsi="Arial" w:cs="Arial"/>
        </w:rPr>
        <w:lastRenderedPageBreak/>
        <w:t>Scottish Government, with further refinements made at the local level through internal working groups. This coordination allowed for the customisation of the heat network zones to better fit local needs and infrastructure. The state of housing stock emerged as a significant concern during the development of the LHEES, highlighting the necessary scale of investments required for decarbonisation.</w:t>
      </w:r>
    </w:p>
    <w:p w14:paraId="6DA5EE0F" w14:textId="6E2ED4A3" w:rsidR="00AA068B" w:rsidRPr="00AA068B" w:rsidRDefault="00FA6258" w:rsidP="00FA6258">
      <w:pPr>
        <w:pStyle w:val="Heading2"/>
        <w:numPr>
          <w:ilvl w:val="0"/>
          <w:numId w:val="0"/>
        </w:numPr>
        <w:ind w:left="576" w:hanging="576"/>
        <w:rPr>
          <w:rFonts w:ascii="Arial" w:hAnsi="Arial" w:cs="Arial"/>
        </w:rPr>
      </w:pPr>
      <w:bookmarkStart w:id="37" w:name="_Toc193808813"/>
      <w:bookmarkStart w:id="38" w:name="_Toc198631587"/>
      <w:bookmarkStart w:id="39" w:name="_Toc198885543"/>
      <w:r>
        <w:rPr>
          <w:rFonts w:ascii="Arial" w:hAnsi="Arial" w:cs="Arial"/>
        </w:rPr>
        <w:t xml:space="preserve">3.2 </w:t>
      </w:r>
      <w:r w:rsidR="00AA068B" w:rsidRPr="00AA068B">
        <w:rPr>
          <w:rFonts w:ascii="Arial" w:hAnsi="Arial" w:cs="Arial"/>
        </w:rPr>
        <w:t>LAEP</w:t>
      </w:r>
      <w:bookmarkEnd w:id="37"/>
      <w:bookmarkEnd w:id="38"/>
      <w:bookmarkEnd w:id="39"/>
    </w:p>
    <w:p w14:paraId="566393AF" w14:textId="77777777" w:rsidR="00C65483" w:rsidRPr="00C65483" w:rsidRDefault="00C65483" w:rsidP="00C65483">
      <w:pPr>
        <w:spacing w:line="360" w:lineRule="auto"/>
        <w:rPr>
          <w:rFonts w:ascii="Arial" w:hAnsi="Arial" w:cs="Arial"/>
          <w:highlight w:val="yellow"/>
        </w:rPr>
      </w:pPr>
      <w:r w:rsidRPr="00C65483">
        <w:rPr>
          <w:rFonts w:ascii="Arial" w:hAnsi="Arial" w:cs="Arial"/>
        </w:rPr>
        <w:t>The development of the LAEP for Perth and Kinross was largely driven by the recognition of the need to look beyond heat, at the whole energy system, so this process was started shortly after the LHEES. The council published its LAEP in January 2024. The document covers the period 2024-2029 setting out a vision of what a net-zero carbon energy system could look like for the area, including priority interventions and recommended actions.</w:t>
      </w:r>
    </w:p>
    <w:p w14:paraId="45257D7C" w14:textId="77777777" w:rsidR="00C65483" w:rsidRPr="00C65483" w:rsidRDefault="00C65483" w:rsidP="00C65483">
      <w:pPr>
        <w:spacing w:line="360" w:lineRule="auto"/>
        <w:rPr>
          <w:rFonts w:ascii="Arial" w:hAnsi="Arial" w:cs="Arial"/>
        </w:rPr>
      </w:pPr>
      <w:r w:rsidRPr="00C65483">
        <w:rPr>
          <w:rFonts w:ascii="Arial" w:hAnsi="Arial" w:cs="Arial"/>
        </w:rPr>
        <w:t>The LAEP was created in alignment with the LHEES and outlines five key priority intervention areas:</w:t>
      </w:r>
    </w:p>
    <w:p w14:paraId="4A4BE0E1" w14:textId="77777777" w:rsidR="00C65483" w:rsidRPr="00C65483" w:rsidRDefault="00C65483" w:rsidP="00C65483">
      <w:pPr>
        <w:pStyle w:val="ListParagraph"/>
        <w:numPr>
          <w:ilvl w:val="0"/>
          <w:numId w:val="22"/>
        </w:numPr>
        <w:spacing w:after="120" w:line="360" w:lineRule="auto"/>
        <w:rPr>
          <w:rFonts w:ascii="Arial" w:hAnsi="Arial" w:cs="Arial"/>
        </w:rPr>
      </w:pPr>
      <w:r w:rsidRPr="00C65483">
        <w:rPr>
          <w:rFonts w:ascii="Arial" w:hAnsi="Arial" w:cs="Arial"/>
        </w:rPr>
        <w:t>Improving the energy efficiency of existing buildings</w:t>
      </w:r>
    </w:p>
    <w:p w14:paraId="5BFEE19E" w14:textId="77777777" w:rsidR="00C65483" w:rsidRPr="00C65483" w:rsidRDefault="00C65483" w:rsidP="00C65483">
      <w:pPr>
        <w:pStyle w:val="ListParagraph"/>
        <w:numPr>
          <w:ilvl w:val="0"/>
          <w:numId w:val="22"/>
        </w:numPr>
        <w:spacing w:after="120" w:line="360" w:lineRule="auto"/>
        <w:rPr>
          <w:rFonts w:ascii="Arial" w:hAnsi="Arial" w:cs="Arial"/>
        </w:rPr>
      </w:pPr>
      <w:r w:rsidRPr="00C65483">
        <w:rPr>
          <w:rFonts w:ascii="Arial" w:hAnsi="Arial" w:cs="Arial"/>
        </w:rPr>
        <w:t>Decarbonising heat</w:t>
      </w:r>
    </w:p>
    <w:p w14:paraId="5C2247FC" w14:textId="77777777" w:rsidR="00C65483" w:rsidRPr="00C65483" w:rsidRDefault="00C65483" w:rsidP="00C65483">
      <w:pPr>
        <w:pStyle w:val="ListParagraph"/>
        <w:numPr>
          <w:ilvl w:val="0"/>
          <w:numId w:val="22"/>
        </w:numPr>
        <w:spacing w:after="120" w:line="360" w:lineRule="auto"/>
        <w:rPr>
          <w:rFonts w:ascii="Arial" w:hAnsi="Arial" w:cs="Arial"/>
        </w:rPr>
      </w:pPr>
      <w:r w:rsidRPr="00C65483">
        <w:rPr>
          <w:rFonts w:ascii="Arial" w:hAnsi="Arial" w:cs="Arial"/>
        </w:rPr>
        <w:t>Reducing transport demand</w:t>
      </w:r>
    </w:p>
    <w:p w14:paraId="2A30635E" w14:textId="77777777" w:rsidR="00C65483" w:rsidRPr="00C65483" w:rsidRDefault="00C65483" w:rsidP="00C65483">
      <w:pPr>
        <w:pStyle w:val="ListParagraph"/>
        <w:numPr>
          <w:ilvl w:val="0"/>
          <w:numId w:val="22"/>
        </w:numPr>
        <w:spacing w:after="120" w:line="360" w:lineRule="auto"/>
        <w:rPr>
          <w:rFonts w:ascii="Arial" w:hAnsi="Arial" w:cs="Arial"/>
        </w:rPr>
      </w:pPr>
      <w:r w:rsidRPr="00C65483">
        <w:rPr>
          <w:rFonts w:ascii="Arial" w:hAnsi="Arial" w:cs="Arial"/>
        </w:rPr>
        <w:t>Decarbonising transport</w:t>
      </w:r>
    </w:p>
    <w:p w14:paraId="1D60D84E" w14:textId="77777777" w:rsidR="00C65483" w:rsidRPr="00C65483" w:rsidRDefault="00C65483" w:rsidP="00C65483">
      <w:pPr>
        <w:pStyle w:val="ListParagraph"/>
        <w:numPr>
          <w:ilvl w:val="0"/>
          <w:numId w:val="22"/>
        </w:numPr>
        <w:spacing w:after="120" w:line="360" w:lineRule="auto"/>
        <w:rPr>
          <w:rFonts w:ascii="Arial" w:hAnsi="Arial" w:cs="Arial"/>
        </w:rPr>
      </w:pPr>
      <w:r w:rsidRPr="00C65483">
        <w:rPr>
          <w:rFonts w:ascii="Arial" w:hAnsi="Arial" w:cs="Arial"/>
        </w:rPr>
        <w:t>Deploying local renewable energy generation and storage</w:t>
      </w:r>
    </w:p>
    <w:p w14:paraId="2756E2EF" w14:textId="77777777" w:rsidR="00C65483" w:rsidRPr="00C65483" w:rsidRDefault="00C65483" w:rsidP="00C65483">
      <w:pPr>
        <w:spacing w:line="360" w:lineRule="auto"/>
        <w:rPr>
          <w:rFonts w:ascii="Arial" w:hAnsi="Arial" w:cs="Arial"/>
        </w:rPr>
      </w:pPr>
      <w:r w:rsidRPr="00C65483">
        <w:rPr>
          <w:rFonts w:ascii="Arial" w:hAnsi="Arial" w:cs="Arial"/>
        </w:rPr>
        <w:t>For each priority area, the LAEP includes a high-level roadmap identifying recommended actions to support the preferred pathway, all within the context of broader policy targets and strategic decisions (see figure 1 below).</w:t>
      </w:r>
    </w:p>
    <w:p w14:paraId="279ECB4B" w14:textId="77777777" w:rsidR="004B4645" w:rsidRDefault="004B4645" w:rsidP="004B4645">
      <w:pPr>
        <w:spacing w:after="0" w:line="360" w:lineRule="auto"/>
        <w:rPr>
          <w:rFonts w:ascii="Arial" w:hAnsi="Arial" w:cs="Arial"/>
        </w:rPr>
      </w:pPr>
    </w:p>
    <w:p w14:paraId="4F29454E" w14:textId="77777777" w:rsidR="004B4645" w:rsidRDefault="004B4645" w:rsidP="004B4645">
      <w:pPr>
        <w:spacing w:after="0" w:line="360" w:lineRule="auto"/>
        <w:rPr>
          <w:rFonts w:ascii="Arial" w:hAnsi="Arial" w:cs="Arial"/>
        </w:rPr>
      </w:pPr>
    </w:p>
    <w:p w14:paraId="3524B8BD" w14:textId="77777777" w:rsidR="004B4645" w:rsidRDefault="004B4645" w:rsidP="004B4645">
      <w:pPr>
        <w:spacing w:after="0" w:line="360" w:lineRule="auto"/>
        <w:rPr>
          <w:rFonts w:ascii="Arial" w:hAnsi="Arial" w:cs="Arial"/>
        </w:rPr>
      </w:pPr>
    </w:p>
    <w:p w14:paraId="3468E73E" w14:textId="77777777" w:rsidR="004B4645" w:rsidRDefault="004B4645" w:rsidP="004B4645">
      <w:pPr>
        <w:spacing w:after="0" w:line="360" w:lineRule="auto"/>
        <w:rPr>
          <w:rFonts w:ascii="Arial" w:hAnsi="Arial" w:cs="Arial"/>
        </w:rPr>
      </w:pPr>
    </w:p>
    <w:p w14:paraId="2910A661" w14:textId="77777777" w:rsidR="004B4645" w:rsidRDefault="004B4645" w:rsidP="004B4645">
      <w:pPr>
        <w:spacing w:after="0" w:line="360" w:lineRule="auto"/>
        <w:rPr>
          <w:rFonts w:ascii="Arial" w:hAnsi="Arial" w:cs="Arial"/>
        </w:rPr>
      </w:pPr>
    </w:p>
    <w:p w14:paraId="64304226" w14:textId="77777777" w:rsidR="004B4645" w:rsidRDefault="004B4645" w:rsidP="004B4645">
      <w:pPr>
        <w:spacing w:after="0" w:line="360" w:lineRule="auto"/>
        <w:rPr>
          <w:rFonts w:ascii="Arial" w:hAnsi="Arial" w:cs="Arial"/>
        </w:rPr>
      </w:pPr>
    </w:p>
    <w:p w14:paraId="3A8957F5" w14:textId="77777777" w:rsidR="004B4645" w:rsidRDefault="004B4645" w:rsidP="004B4645">
      <w:pPr>
        <w:spacing w:after="0" w:line="360" w:lineRule="auto"/>
        <w:rPr>
          <w:rFonts w:ascii="Arial" w:hAnsi="Arial" w:cs="Arial"/>
        </w:rPr>
      </w:pPr>
    </w:p>
    <w:p w14:paraId="1C510720" w14:textId="77777777" w:rsidR="004B4645" w:rsidRDefault="004B4645" w:rsidP="004B4645">
      <w:pPr>
        <w:spacing w:after="0" w:line="360" w:lineRule="auto"/>
        <w:rPr>
          <w:rFonts w:ascii="Arial" w:hAnsi="Arial" w:cs="Arial"/>
        </w:rPr>
      </w:pPr>
    </w:p>
    <w:p w14:paraId="68F8BAC6" w14:textId="77777777" w:rsidR="004B4645" w:rsidRDefault="004B4645" w:rsidP="004B4645">
      <w:pPr>
        <w:spacing w:after="0" w:line="360" w:lineRule="auto"/>
        <w:rPr>
          <w:rFonts w:ascii="Arial" w:hAnsi="Arial" w:cs="Arial"/>
        </w:rPr>
      </w:pPr>
    </w:p>
    <w:p w14:paraId="20DED9BA" w14:textId="62C41499" w:rsidR="004B4645" w:rsidRPr="001820E3" w:rsidRDefault="004B4645" w:rsidP="00E94E4E">
      <w:pPr>
        <w:spacing w:after="0" w:line="360" w:lineRule="auto"/>
        <w:rPr>
          <w:rFonts w:ascii="Arial" w:hAnsi="Arial" w:cs="Arial"/>
        </w:rPr>
      </w:pPr>
    </w:p>
    <w:p w14:paraId="38292595" w14:textId="182A1F63" w:rsidR="00D466BE" w:rsidRPr="00A36E46" w:rsidRDefault="00D466BE" w:rsidP="00D466BE">
      <w:pPr>
        <w:spacing w:after="0" w:line="360" w:lineRule="auto"/>
        <w:rPr>
          <w:rFonts w:ascii="Arial" w:hAnsi="Arial" w:cs="Arial"/>
          <w:i/>
          <w:iCs/>
        </w:rPr>
      </w:pPr>
      <w:r>
        <w:rPr>
          <w:noProof/>
        </w:rPr>
        <w:lastRenderedPageBreak/>
        <w:drawing>
          <wp:anchor distT="0" distB="0" distL="114300" distR="114300" simplePos="0" relativeHeight="251659264" behindDoc="1" locked="0" layoutInCell="1" allowOverlap="1" wp14:anchorId="1C276F31" wp14:editId="44397FC0">
            <wp:simplePos x="0" y="0"/>
            <wp:positionH relativeFrom="margin">
              <wp:align>center</wp:align>
            </wp:positionH>
            <wp:positionV relativeFrom="paragraph">
              <wp:posOffset>510540</wp:posOffset>
            </wp:positionV>
            <wp:extent cx="4979670" cy="3714750"/>
            <wp:effectExtent l="0" t="0" r="0" b="0"/>
            <wp:wrapTight wrapText="bothSides">
              <wp:wrapPolygon edited="0">
                <wp:start x="0" y="0"/>
                <wp:lineTo x="0" y="21489"/>
                <wp:lineTo x="21484" y="21489"/>
                <wp:lineTo x="21484" y="0"/>
                <wp:lineTo x="0" y="0"/>
              </wp:wrapPolygon>
            </wp:wrapTight>
            <wp:docPr id="1876204010" name="Picture 1" descr="A diagram from Perth and Kinross Council's Local Area Energy Plan 2024-2029. The diagram is of the Local Area Energy Plan Priority intervention areas, which include: policy environment, governance and engagement and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04010" name="Picture 1" descr="A diagram from Perth and Kinross Council's Local Area Energy Plan 2024-2029. The diagram is of the Local Area Energy Plan Priority intervention areas, which include: policy environment, governance and engagement and fin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9670" cy="3714750"/>
                    </a:xfrm>
                    <a:prstGeom prst="rect">
                      <a:avLst/>
                    </a:prstGeom>
                    <a:noFill/>
                  </pic:spPr>
                </pic:pic>
              </a:graphicData>
            </a:graphic>
            <wp14:sizeRelH relativeFrom="page">
              <wp14:pctWidth>0</wp14:pctWidth>
            </wp14:sizeRelH>
            <wp14:sizeRelV relativeFrom="page">
              <wp14:pctHeight>0</wp14:pctHeight>
            </wp14:sizeRelV>
          </wp:anchor>
        </w:drawing>
      </w:r>
      <w:r w:rsidRPr="00A36E46">
        <w:rPr>
          <w:rFonts w:ascii="Arial" w:hAnsi="Arial" w:cs="Arial"/>
          <w:i/>
          <w:iCs/>
        </w:rPr>
        <w:t xml:space="preserve">Figure 1: LAEP Priority intervention areas (from </w:t>
      </w:r>
      <w:hyperlink r:id="rId14" w:history="1">
        <w:r w:rsidRPr="005C39EC">
          <w:rPr>
            <w:rStyle w:val="Hyperlink"/>
            <w:rFonts w:ascii="Arial" w:hAnsi="Arial" w:cs="Arial"/>
            <w:i/>
            <w:iCs/>
          </w:rPr>
          <w:t>Perth and Kinross Council Local Area Energy Plan 2024-2029</w:t>
        </w:r>
      </w:hyperlink>
      <w:r w:rsidRPr="00A36E46">
        <w:rPr>
          <w:rFonts w:ascii="Arial" w:hAnsi="Arial" w:cs="Arial"/>
          <w:i/>
          <w:iCs/>
        </w:rPr>
        <w:t>)</w:t>
      </w:r>
    </w:p>
    <w:p w14:paraId="091E2868" w14:textId="443985CA" w:rsidR="001820E3" w:rsidRPr="001820E3" w:rsidRDefault="001820E3" w:rsidP="00E94E4E">
      <w:pPr>
        <w:spacing w:after="0" w:line="360" w:lineRule="auto"/>
        <w:rPr>
          <w:rFonts w:ascii="Arial" w:hAnsi="Arial" w:cs="Arial"/>
        </w:rPr>
      </w:pPr>
    </w:p>
    <w:p w14:paraId="78C3A3F8" w14:textId="415C7E94" w:rsidR="00416413" w:rsidRPr="001820E3" w:rsidRDefault="00416413" w:rsidP="00F564F2">
      <w:pPr>
        <w:spacing w:after="0" w:line="360" w:lineRule="auto"/>
        <w:rPr>
          <w:rFonts w:ascii="Arial" w:hAnsi="Arial" w:cs="Arial"/>
        </w:rPr>
      </w:pPr>
    </w:p>
    <w:p w14:paraId="386EC53F" w14:textId="592436A6" w:rsidR="00F564F2" w:rsidRDefault="00F564F2" w:rsidP="00F564F2">
      <w:pPr>
        <w:spacing w:after="0" w:line="360" w:lineRule="auto"/>
        <w:rPr>
          <w:rFonts w:ascii="Arial" w:hAnsi="Arial" w:cs="Arial"/>
        </w:rPr>
      </w:pPr>
    </w:p>
    <w:p w14:paraId="52E95D44" w14:textId="77777777" w:rsidR="00F564F2" w:rsidRDefault="00F564F2" w:rsidP="00F564F2">
      <w:pPr>
        <w:pStyle w:val="Heading1"/>
        <w:numPr>
          <w:ilvl w:val="0"/>
          <w:numId w:val="0"/>
        </w:numPr>
        <w:ind w:left="432"/>
      </w:pPr>
    </w:p>
    <w:p w14:paraId="2EA0B7E2" w14:textId="77777777" w:rsidR="00774C4B" w:rsidRDefault="00774C4B" w:rsidP="00774C4B">
      <w:pPr>
        <w:pStyle w:val="Heading1"/>
        <w:numPr>
          <w:ilvl w:val="0"/>
          <w:numId w:val="0"/>
        </w:numPr>
        <w:ind w:left="432"/>
        <w:rPr>
          <w:rFonts w:ascii="Arial" w:hAnsi="Arial" w:cs="Arial"/>
        </w:rPr>
      </w:pPr>
    </w:p>
    <w:p w14:paraId="33B87A97" w14:textId="77777777" w:rsidR="00774C4B" w:rsidRDefault="00774C4B" w:rsidP="00774C4B">
      <w:pPr>
        <w:pStyle w:val="Heading1"/>
        <w:numPr>
          <w:ilvl w:val="0"/>
          <w:numId w:val="0"/>
        </w:numPr>
        <w:ind w:left="432"/>
        <w:rPr>
          <w:rFonts w:ascii="Arial" w:hAnsi="Arial" w:cs="Arial"/>
        </w:rPr>
      </w:pPr>
    </w:p>
    <w:p w14:paraId="77B77403" w14:textId="77777777" w:rsidR="00774C4B" w:rsidRDefault="00774C4B" w:rsidP="00774C4B"/>
    <w:p w14:paraId="23BA0379" w14:textId="77777777" w:rsidR="00774C4B" w:rsidRDefault="00774C4B" w:rsidP="00774C4B">
      <w:pPr>
        <w:spacing w:after="0"/>
      </w:pPr>
    </w:p>
    <w:p w14:paraId="2715714B" w14:textId="77777777" w:rsidR="00774C4B" w:rsidRDefault="00774C4B" w:rsidP="00774C4B">
      <w:pPr>
        <w:spacing w:after="0"/>
      </w:pPr>
    </w:p>
    <w:p w14:paraId="54196FBD" w14:textId="77777777" w:rsidR="00774C4B" w:rsidRDefault="00774C4B" w:rsidP="00774C4B">
      <w:pPr>
        <w:spacing w:after="0"/>
      </w:pPr>
    </w:p>
    <w:p w14:paraId="38B87E72" w14:textId="77777777" w:rsidR="00774C4B" w:rsidRDefault="00774C4B" w:rsidP="00774C4B">
      <w:pPr>
        <w:spacing w:after="0"/>
      </w:pPr>
    </w:p>
    <w:p w14:paraId="3D40B955" w14:textId="77777777" w:rsidR="00774C4B" w:rsidRDefault="00774C4B" w:rsidP="00774C4B">
      <w:pPr>
        <w:spacing w:after="0"/>
      </w:pPr>
    </w:p>
    <w:p w14:paraId="1E05AC88" w14:textId="77777777" w:rsidR="00D466BE" w:rsidRDefault="00D466BE" w:rsidP="00A36E46">
      <w:pPr>
        <w:spacing w:after="0" w:line="360" w:lineRule="auto"/>
        <w:rPr>
          <w:rFonts w:ascii="Arial" w:hAnsi="Arial" w:cs="Arial"/>
          <w:i/>
          <w:iCs/>
        </w:rPr>
      </w:pPr>
    </w:p>
    <w:p w14:paraId="2CDF9808" w14:textId="77777777" w:rsidR="00D466BE" w:rsidRDefault="00D466BE" w:rsidP="00A36E46">
      <w:pPr>
        <w:spacing w:after="0" w:line="360" w:lineRule="auto"/>
        <w:rPr>
          <w:rFonts w:ascii="Arial" w:hAnsi="Arial" w:cs="Arial"/>
          <w:i/>
          <w:iCs/>
        </w:rPr>
      </w:pPr>
    </w:p>
    <w:p w14:paraId="02BD6A71" w14:textId="77777777" w:rsidR="00A36E46" w:rsidRDefault="00A36E46" w:rsidP="00774C4B">
      <w:pPr>
        <w:spacing w:after="0" w:line="360" w:lineRule="auto"/>
        <w:rPr>
          <w:rFonts w:ascii="Arial" w:hAnsi="Arial" w:cs="Arial"/>
        </w:rPr>
      </w:pPr>
    </w:p>
    <w:p w14:paraId="76595ABE" w14:textId="00100C88" w:rsidR="00774C4B" w:rsidRPr="00774C4B" w:rsidRDefault="00774C4B" w:rsidP="00774C4B">
      <w:pPr>
        <w:spacing w:after="0" w:line="360" w:lineRule="auto"/>
        <w:rPr>
          <w:rFonts w:ascii="Arial" w:hAnsi="Arial" w:cs="Arial"/>
          <w:i/>
          <w:iCs/>
        </w:rPr>
      </w:pPr>
      <w:r w:rsidRPr="00774C4B">
        <w:rPr>
          <w:rFonts w:ascii="Arial" w:hAnsi="Arial" w:cs="Arial"/>
        </w:rPr>
        <w:t>Both the LAEP and LHEES are using the innovative Local Energy Net Zero Accelerator (LENZA) planning tool, which provides access to up-to-date network capacity, building stock data, and modelling tools to support decision making.</w:t>
      </w:r>
    </w:p>
    <w:p w14:paraId="6FE20F56" w14:textId="3CAACAF0" w:rsidR="003B5FF1" w:rsidRPr="00FA6258" w:rsidRDefault="00FA6258" w:rsidP="00FA6258">
      <w:pPr>
        <w:pStyle w:val="Heading1"/>
        <w:numPr>
          <w:ilvl w:val="0"/>
          <w:numId w:val="0"/>
        </w:numPr>
        <w:rPr>
          <w:rFonts w:ascii="Arial" w:hAnsi="Arial" w:cs="Arial"/>
        </w:rPr>
      </w:pPr>
      <w:bookmarkStart w:id="40" w:name="_Toc193807061"/>
      <w:bookmarkStart w:id="41" w:name="_Toc193808814"/>
      <w:bookmarkStart w:id="42" w:name="_Toc198631588"/>
      <w:bookmarkStart w:id="43" w:name="_Toc198885544"/>
      <w:r w:rsidRPr="00FA6258">
        <w:rPr>
          <w:rFonts w:ascii="Arial" w:hAnsi="Arial" w:cs="Arial"/>
        </w:rPr>
        <w:t xml:space="preserve">4. </w:t>
      </w:r>
      <w:r w:rsidR="003B5FF1" w:rsidRPr="00FA6258">
        <w:rPr>
          <w:rFonts w:ascii="Arial" w:hAnsi="Arial" w:cs="Arial"/>
        </w:rPr>
        <w:t>Collaborative governance during the LHESS and LAEP development</w:t>
      </w:r>
      <w:bookmarkEnd w:id="40"/>
      <w:bookmarkEnd w:id="41"/>
      <w:bookmarkEnd w:id="42"/>
      <w:bookmarkEnd w:id="43"/>
    </w:p>
    <w:p w14:paraId="4E7357A5" w14:textId="77777777" w:rsidR="003B5FF1" w:rsidRPr="003B5FF1" w:rsidRDefault="003B5FF1" w:rsidP="003B5FF1">
      <w:pPr>
        <w:spacing w:line="360" w:lineRule="auto"/>
        <w:rPr>
          <w:rFonts w:ascii="Arial" w:hAnsi="Arial" w:cs="Arial"/>
        </w:rPr>
      </w:pPr>
      <w:r w:rsidRPr="003B5FF1">
        <w:rPr>
          <w:rFonts w:ascii="Arial" w:hAnsi="Arial" w:cs="Arial"/>
        </w:rPr>
        <w:t xml:space="preserve">From the outset, Perth and Kinross Council opted to develop the LHEES and the LAEP as a unified initiative, promoting a comprehensive </w:t>
      </w:r>
      <w:r w:rsidRPr="003B5FF1">
        <w:rPr>
          <w:rFonts w:ascii="Arial" w:hAnsi="Arial" w:cs="Arial"/>
          <w:i/>
          <w:iCs/>
        </w:rPr>
        <w:t xml:space="preserve">"whole energy systems" </w:t>
      </w:r>
      <w:r w:rsidRPr="003B5FF1">
        <w:rPr>
          <w:rFonts w:ascii="Arial" w:hAnsi="Arial" w:cs="Arial"/>
        </w:rPr>
        <w:t>perspective (see figure 2 below). This framework facilitated critical considerations such as grid constraints and planning, thereby enabling a more integrated view of local energy systems.</w:t>
      </w:r>
    </w:p>
    <w:p w14:paraId="39F62318" w14:textId="77777777" w:rsidR="003B5FF1" w:rsidRDefault="003B5FF1" w:rsidP="003B5FF1">
      <w:pPr>
        <w:spacing w:line="360" w:lineRule="auto"/>
        <w:rPr>
          <w:rFonts w:ascii="Arial" w:hAnsi="Arial" w:cs="Arial"/>
        </w:rPr>
      </w:pPr>
      <w:r w:rsidRPr="003B5FF1">
        <w:rPr>
          <w:rFonts w:ascii="Arial" w:hAnsi="Arial" w:cs="Arial"/>
        </w:rPr>
        <w:t xml:space="preserve">The governance structure established for the LAEP and LHEES has proven to be highly effective. By integrating these two initiatives under a single delivery framework, directly linking to the council’s decarbonisation plan, Perth and Kinross Council was able to ensure that all related work aligned. This holistic approach </w:t>
      </w:r>
      <w:r w:rsidRPr="003B5FF1">
        <w:rPr>
          <w:rFonts w:ascii="Arial" w:hAnsi="Arial" w:cs="Arial"/>
        </w:rPr>
        <w:lastRenderedPageBreak/>
        <w:t>allowed for a cohesive strategy that addressed various energy-related challenges and fostered collaboration across different teams within the council.</w:t>
      </w:r>
    </w:p>
    <w:p w14:paraId="084475C7" w14:textId="15D7DDF1" w:rsidR="00661B47" w:rsidRPr="00661B47" w:rsidRDefault="00661B47" w:rsidP="00661B47">
      <w:pPr>
        <w:spacing w:line="360" w:lineRule="auto"/>
        <w:rPr>
          <w:rFonts w:ascii="Arial" w:hAnsi="Arial" w:cs="Arial"/>
        </w:rPr>
      </w:pPr>
    </w:p>
    <w:p w14:paraId="2D95457E" w14:textId="79D9E618" w:rsidR="005C39EC" w:rsidRPr="003B5FF1" w:rsidRDefault="005C39EC" w:rsidP="005C39EC">
      <w:pPr>
        <w:spacing w:line="360" w:lineRule="auto"/>
        <w:rPr>
          <w:rFonts w:ascii="Arial" w:hAnsi="Arial" w:cs="Arial"/>
        </w:rPr>
      </w:pPr>
      <w:r w:rsidRPr="00661B47">
        <w:rPr>
          <w:rFonts w:ascii="Arial" w:hAnsi="Arial" w:cs="Arial"/>
          <w:i/>
          <w:iCs/>
        </w:rPr>
        <w:t xml:space="preserve">Figure 2: Overview of LHEES and LAEP (from </w:t>
      </w:r>
      <w:hyperlink r:id="rId15" w:history="1">
        <w:r w:rsidRPr="005C39EC">
          <w:rPr>
            <w:rStyle w:val="Hyperlink"/>
            <w:rFonts w:ascii="Arial" w:hAnsi="Arial" w:cs="Arial"/>
            <w:i/>
            <w:iCs/>
          </w:rPr>
          <w:t>Perth and Kinross Council Local Heat &amp; Energy Efficiency Strategy 2024-2045)</w:t>
        </w:r>
      </w:hyperlink>
      <w:r w:rsidRPr="00661B47">
        <w:rPr>
          <w:rFonts w:ascii="Arial" w:hAnsi="Arial" w:cs="Arial"/>
          <w:i/>
          <w:iCs/>
        </w:rPr>
        <w:t xml:space="preserve"> </w:t>
      </w:r>
    </w:p>
    <w:p w14:paraId="45670160" w14:textId="62AD71D5" w:rsidR="00661B47" w:rsidRPr="00661B47" w:rsidRDefault="005C39EC" w:rsidP="00661B47">
      <w:pPr>
        <w:spacing w:line="360" w:lineRule="auto"/>
        <w:rPr>
          <w:rFonts w:ascii="Arial" w:hAnsi="Arial" w:cs="Arial"/>
        </w:rPr>
      </w:pPr>
      <w:r w:rsidRPr="00661B47">
        <w:rPr>
          <w:rFonts w:ascii="Arial" w:hAnsi="Arial" w:cs="Arial"/>
          <w:noProof/>
        </w:rPr>
        <w:drawing>
          <wp:anchor distT="0" distB="0" distL="114300" distR="114300" simplePos="0" relativeHeight="251661312" behindDoc="0" locked="0" layoutInCell="1" allowOverlap="1" wp14:anchorId="145CA084" wp14:editId="32F4E733">
            <wp:simplePos x="0" y="0"/>
            <wp:positionH relativeFrom="margin">
              <wp:align>center</wp:align>
            </wp:positionH>
            <wp:positionV relativeFrom="paragraph">
              <wp:posOffset>23495</wp:posOffset>
            </wp:positionV>
            <wp:extent cx="4237950" cy="3238500"/>
            <wp:effectExtent l="0" t="0" r="0" b="0"/>
            <wp:wrapNone/>
            <wp:docPr id="36568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7950" cy="3238500"/>
                    </a:xfrm>
                    <a:prstGeom prst="rect">
                      <a:avLst/>
                    </a:prstGeom>
                    <a:noFill/>
                  </pic:spPr>
                </pic:pic>
              </a:graphicData>
            </a:graphic>
          </wp:anchor>
        </w:drawing>
      </w:r>
    </w:p>
    <w:p w14:paraId="1BAC8E8D" w14:textId="0EE0D739" w:rsidR="00661B47" w:rsidRPr="00661B47" w:rsidRDefault="00661B47" w:rsidP="00661B47">
      <w:pPr>
        <w:spacing w:line="360" w:lineRule="auto"/>
        <w:rPr>
          <w:rFonts w:ascii="Arial" w:hAnsi="Arial" w:cs="Arial"/>
        </w:rPr>
      </w:pPr>
    </w:p>
    <w:p w14:paraId="45E5866C" w14:textId="77777777" w:rsidR="00661B47" w:rsidRPr="00661B47" w:rsidRDefault="00661B47" w:rsidP="00661B47">
      <w:pPr>
        <w:spacing w:line="360" w:lineRule="auto"/>
        <w:rPr>
          <w:rFonts w:ascii="Arial" w:hAnsi="Arial" w:cs="Arial"/>
        </w:rPr>
      </w:pPr>
    </w:p>
    <w:p w14:paraId="1162B6DA" w14:textId="77777777" w:rsidR="00661B47" w:rsidRPr="00661B47" w:rsidRDefault="00661B47" w:rsidP="00661B47">
      <w:pPr>
        <w:spacing w:line="360" w:lineRule="auto"/>
        <w:rPr>
          <w:rFonts w:ascii="Arial" w:hAnsi="Arial" w:cs="Arial"/>
          <w:i/>
          <w:iCs/>
        </w:rPr>
      </w:pPr>
    </w:p>
    <w:p w14:paraId="130D85F7" w14:textId="77777777" w:rsidR="00661B47" w:rsidRPr="00661B47" w:rsidRDefault="00661B47" w:rsidP="00661B47">
      <w:pPr>
        <w:spacing w:line="360" w:lineRule="auto"/>
        <w:rPr>
          <w:rFonts w:ascii="Arial" w:hAnsi="Arial" w:cs="Arial"/>
          <w:i/>
          <w:iCs/>
        </w:rPr>
      </w:pPr>
    </w:p>
    <w:p w14:paraId="08D91420" w14:textId="77777777" w:rsidR="00661B47" w:rsidRPr="00661B47" w:rsidRDefault="00661B47" w:rsidP="00661B47">
      <w:pPr>
        <w:spacing w:line="360" w:lineRule="auto"/>
        <w:rPr>
          <w:rFonts w:ascii="Arial" w:hAnsi="Arial" w:cs="Arial"/>
          <w:i/>
          <w:iCs/>
        </w:rPr>
      </w:pPr>
    </w:p>
    <w:p w14:paraId="0AE5B65E" w14:textId="77777777" w:rsidR="00661B47" w:rsidRPr="00661B47" w:rsidRDefault="00661B47" w:rsidP="00661B47">
      <w:pPr>
        <w:spacing w:line="360" w:lineRule="auto"/>
        <w:rPr>
          <w:rFonts w:ascii="Arial" w:hAnsi="Arial" w:cs="Arial"/>
          <w:i/>
          <w:iCs/>
        </w:rPr>
      </w:pPr>
    </w:p>
    <w:p w14:paraId="2991E41B" w14:textId="77777777" w:rsidR="00661B47" w:rsidRPr="00661B47" w:rsidRDefault="00661B47" w:rsidP="00661B47">
      <w:pPr>
        <w:spacing w:line="360" w:lineRule="auto"/>
        <w:rPr>
          <w:rFonts w:ascii="Arial" w:hAnsi="Arial" w:cs="Arial"/>
          <w:i/>
          <w:iCs/>
        </w:rPr>
      </w:pPr>
    </w:p>
    <w:p w14:paraId="1CEAD42D" w14:textId="77777777" w:rsidR="00661B47" w:rsidRPr="00661B47" w:rsidRDefault="00661B47" w:rsidP="00661B47">
      <w:pPr>
        <w:spacing w:line="360" w:lineRule="auto"/>
        <w:rPr>
          <w:rFonts w:ascii="Arial" w:hAnsi="Arial" w:cs="Arial"/>
          <w:i/>
          <w:iCs/>
        </w:rPr>
      </w:pPr>
    </w:p>
    <w:p w14:paraId="7A8E43CF" w14:textId="77777777" w:rsidR="005C39EC" w:rsidRDefault="005C39EC" w:rsidP="003B5FF1">
      <w:pPr>
        <w:spacing w:line="360" w:lineRule="auto"/>
        <w:rPr>
          <w:rFonts w:ascii="Arial" w:hAnsi="Arial" w:cs="Arial"/>
          <w:i/>
          <w:iCs/>
        </w:rPr>
      </w:pPr>
    </w:p>
    <w:p w14:paraId="1B32E7D6" w14:textId="28AB6D51" w:rsidR="00862B2C" w:rsidRPr="00862B2C" w:rsidRDefault="00FA6258" w:rsidP="00FA6258">
      <w:pPr>
        <w:pStyle w:val="Heading2"/>
        <w:numPr>
          <w:ilvl w:val="0"/>
          <w:numId w:val="0"/>
        </w:numPr>
        <w:ind w:left="576" w:hanging="576"/>
        <w:rPr>
          <w:rFonts w:ascii="Arial" w:hAnsi="Arial" w:cs="Arial"/>
        </w:rPr>
      </w:pPr>
      <w:bookmarkStart w:id="44" w:name="_Toc193808815"/>
      <w:bookmarkStart w:id="45" w:name="_Toc198631589"/>
      <w:bookmarkStart w:id="46" w:name="_Toc198885545"/>
      <w:r>
        <w:rPr>
          <w:rFonts w:ascii="Arial" w:hAnsi="Arial" w:cs="Arial"/>
        </w:rPr>
        <w:t xml:space="preserve">4.1 </w:t>
      </w:r>
      <w:r w:rsidR="00862B2C" w:rsidRPr="00862B2C">
        <w:rPr>
          <w:rFonts w:ascii="Arial" w:hAnsi="Arial" w:cs="Arial"/>
        </w:rPr>
        <w:t>The role of internal and external stakeholders</w:t>
      </w:r>
      <w:bookmarkEnd w:id="44"/>
      <w:bookmarkEnd w:id="45"/>
      <w:bookmarkEnd w:id="46"/>
      <w:r w:rsidR="00862B2C" w:rsidRPr="00862B2C">
        <w:rPr>
          <w:rFonts w:ascii="Arial" w:hAnsi="Arial" w:cs="Arial"/>
        </w:rPr>
        <w:t xml:space="preserve"> </w:t>
      </w:r>
    </w:p>
    <w:p w14:paraId="0AF4CECB" w14:textId="77777777" w:rsidR="00862B2C" w:rsidRPr="00862B2C" w:rsidRDefault="00862B2C" w:rsidP="00862B2C">
      <w:pPr>
        <w:spacing w:after="0" w:line="360" w:lineRule="auto"/>
        <w:rPr>
          <w:rFonts w:ascii="Arial" w:hAnsi="Arial" w:cs="Arial"/>
        </w:rPr>
      </w:pPr>
      <w:r w:rsidRPr="00862B2C">
        <w:rPr>
          <w:rFonts w:ascii="Arial" w:hAnsi="Arial" w:cs="Arial"/>
        </w:rPr>
        <w:t xml:space="preserve">To manage and drive the LHEES and LAEP effectively, both internal and external steering groups were established and involved from the inception of the project. This included a coordinated </w:t>
      </w:r>
      <w:r w:rsidRPr="00862B2C">
        <w:rPr>
          <w:rFonts w:ascii="Arial" w:hAnsi="Arial" w:cs="Arial"/>
          <w:i/>
          <w:iCs/>
        </w:rPr>
        <w:t>“team of teams”</w:t>
      </w:r>
      <w:r w:rsidRPr="00862B2C">
        <w:rPr>
          <w:rFonts w:ascii="Arial" w:hAnsi="Arial" w:cs="Arial"/>
        </w:rPr>
        <w:t xml:space="preserve"> approach across various council departments including town planning, alongside partnerships with external delivery partners, such as Scottish &amp; Southern Electricity Networks Transmission (SSEN), the NHS, housing associations, and other stakeholders. As part of this process, the council hosted a series of eight workshops. The involvement of these external partners from the outset facilitated early buy-in, allowing stakeholders to gain an understanding of the importance of the plans, identify potential opportunities, and provide input across various phases—from evidence gathering to scenario planning and deployment. This collaborative governance structure has proven valuable in gaining wider support and ensuring that the strategy benefits from diverse expertise and input.</w:t>
      </w:r>
    </w:p>
    <w:p w14:paraId="6CADF140" w14:textId="32D05EB3" w:rsidR="00862B2C" w:rsidRPr="00862B2C" w:rsidRDefault="00FA6258" w:rsidP="00FA6258">
      <w:pPr>
        <w:pStyle w:val="Heading2"/>
        <w:numPr>
          <w:ilvl w:val="0"/>
          <w:numId w:val="0"/>
        </w:numPr>
        <w:ind w:left="576" w:hanging="576"/>
        <w:rPr>
          <w:rFonts w:ascii="Arial" w:hAnsi="Arial" w:cs="Arial"/>
        </w:rPr>
      </w:pPr>
      <w:bookmarkStart w:id="47" w:name="_Toc193808816"/>
      <w:bookmarkStart w:id="48" w:name="_Toc198631590"/>
      <w:bookmarkStart w:id="49" w:name="_Toc198885546"/>
      <w:r>
        <w:rPr>
          <w:rFonts w:ascii="Arial" w:hAnsi="Arial" w:cs="Arial"/>
        </w:rPr>
        <w:lastRenderedPageBreak/>
        <w:t xml:space="preserve">4.2 </w:t>
      </w:r>
      <w:r w:rsidR="00862B2C" w:rsidRPr="00862B2C">
        <w:rPr>
          <w:rFonts w:ascii="Arial" w:hAnsi="Arial" w:cs="Arial"/>
        </w:rPr>
        <w:t>Ongoing alignment</w:t>
      </w:r>
      <w:bookmarkEnd w:id="47"/>
      <w:bookmarkEnd w:id="48"/>
      <w:bookmarkEnd w:id="49"/>
      <w:r w:rsidR="00862B2C" w:rsidRPr="00862B2C">
        <w:rPr>
          <w:rFonts w:ascii="Arial" w:hAnsi="Arial" w:cs="Arial"/>
        </w:rPr>
        <w:t xml:space="preserve"> </w:t>
      </w:r>
    </w:p>
    <w:p w14:paraId="680D043B" w14:textId="77777777" w:rsidR="00862B2C" w:rsidRPr="00862B2C" w:rsidRDefault="00862B2C" w:rsidP="00862B2C">
      <w:pPr>
        <w:spacing w:line="360" w:lineRule="auto"/>
        <w:rPr>
          <w:rFonts w:ascii="Arial" w:hAnsi="Arial" w:cs="Arial"/>
        </w:rPr>
      </w:pPr>
      <w:r w:rsidRPr="00862B2C">
        <w:rPr>
          <w:rFonts w:ascii="Arial" w:hAnsi="Arial" w:cs="Arial"/>
        </w:rPr>
        <w:t xml:space="preserve">As the council moves into the next phase of LHEES and LAEP implementation, there is a recognised need to strengthen partnerships with external delivery partners. While the council has established solid internal alignment, the next steps will focus on expanding collaboration with steering group partners and effectively linking various workstreams through a delivery framework. Aligning with policies including the emerging Local Development Plan (LDP) (discussed below) and the mobility strategy is also recognised as key. </w:t>
      </w:r>
    </w:p>
    <w:p w14:paraId="56683F7F" w14:textId="77777777" w:rsidR="00862B2C" w:rsidRPr="00862B2C" w:rsidRDefault="00862B2C" w:rsidP="00862B2C">
      <w:pPr>
        <w:spacing w:line="360" w:lineRule="auto"/>
        <w:rPr>
          <w:rFonts w:ascii="Arial" w:hAnsi="Arial" w:cs="Arial"/>
        </w:rPr>
      </w:pPr>
      <w:r w:rsidRPr="00862B2C">
        <w:rPr>
          <w:rFonts w:ascii="Arial" w:hAnsi="Arial" w:cs="Arial"/>
        </w:rPr>
        <w:t>This integration exemplifies the added value of LAEP as a planning tool, building on the foundation LHEES provides but extending into actionable pathways for the broader energy system transformation. LAEP supplies the route map needed to address system-wide decarbonisation, which will be increasingly critical for local authorities aiming to meet net-zero.</w:t>
      </w:r>
    </w:p>
    <w:p w14:paraId="7858D2D6" w14:textId="157882C7" w:rsidR="00862B2C" w:rsidRPr="00FA6258" w:rsidRDefault="00FA6258" w:rsidP="00FA6258">
      <w:pPr>
        <w:pStyle w:val="Heading1"/>
        <w:numPr>
          <w:ilvl w:val="0"/>
          <w:numId w:val="0"/>
        </w:numPr>
        <w:rPr>
          <w:rFonts w:ascii="Arial" w:hAnsi="Arial" w:cs="Arial"/>
        </w:rPr>
      </w:pPr>
      <w:bookmarkStart w:id="50" w:name="_Toc193807062"/>
      <w:bookmarkStart w:id="51" w:name="_Toc193808817"/>
      <w:bookmarkStart w:id="52" w:name="_Toc198631591"/>
      <w:bookmarkStart w:id="53" w:name="_Toc198885547"/>
      <w:r w:rsidRPr="00FA6258">
        <w:rPr>
          <w:rFonts w:ascii="Arial" w:hAnsi="Arial" w:cs="Arial"/>
        </w:rPr>
        <w:t xml:space="preserve">5. </w:t>
      </w:r>
      <w:r w:rsidR="00862B2C" w:rsidRPr="00FA6258">
        <w:rPr>
          <w:rFonts w:ascii="Arial" w:hAnsi="Arial" w:cs="Arial"/>
        </w:rPr>
        <w:t>Role of local authority planners in preparing the LHEES and LAEP</w:t>
      </w:r>
      <w:bookmarkEnd w:id="50"/>
      <w:bookmarkEnd w:id="51"/>
      <w:bookmarkEnd w:id="52"/>
      <w:bookmarkEnd w:id="53"/>
    </w:p>
    <w:p w14:paraId="029D4492" w14:textId="77777777" w:rsidR="00862B2C" w:rsidRPr="00862B2C" w:rsidRDefault="00862B2C" w:rsidP="00862B2C">
      <w:pPr>
        <w:spacing w:line="360" w:lineRule="auto"/>
        <w:rPr>
          <w:rFonts w:ascii="Arial" w:hAnsi="Arial" w:cs="Arial"/>
        </w:rPr>
      </w:pPr>
      <w:r w:rsidRPr="00862B2C">
        <w:rPr>
          <w:rFonts w:ascii="Arial" w:hAnsi="Arial" w:cs="Arial"/>
        </w:rPr>
        <w:t>In developing both the LHEES and the LAEP, Perth and Kinross Council emphasised the need for alignment between energy planning and the broader town planning system. Notably, alignment was identified as a priority early in the process, indicating strong internal awareness of the importance of synergy between energy strategies and town planning policies.</w:t>
      </w:r>
    </w:p>
    <w:p w14:paraId="665C4D02" w14:textId="77777777" w:rsidR="00862B2C" w:rsidRPr="00862B2C" w:rsidRDefault="00862B2C" w:rsidP="00862B2C">
      <w:pPr>
        <w:spacing w:line="360" w:lineRule="auto"/>
        <w:rPr>
          <w:rFonts w:ascii="Arial" w:hAnsi="Arial" w:cs="Arial"/>
        </w:rPr>
      </w:pPr>
      <w:r w:rsidRPr="00862B2C">
        <w:rPr>
          <w:rFonts w:ascii="Arial" w:hAnsi="Arial" w:cs="Arial"/>
        </w:rPr>
        <w:t xml:space="preserve">To facilitate this, planners from the council’s town planning policy team were included in the LHEES and LAEP project team. The LHEES process requires a policy review and strategy, which proved a useful process in terms of identifying linkages with both national and local policies. The involvement of planners in the LAEP and LHEES process was also valuable in terms of providing an in-depth understanding of the factors influencing the siting of renewables. This enabled town planning constraints to be taken into consideration, providing more certainty on the suitability of land for renewables. </w:t>
      </w:r>
    </w:p>
    <w:p w14:paraId="7E0339DD" w14:textId="315AB86F" w:rsidR="00862B2C" w:rsidRPr="00FA6258" w:rsidRDefault="00FA6258" w:rsidP="00FA6258">
      <w:pPr>
        <w:pStyle w:val="Heading2"/>
        <w:numPr>
          <w:ilvl w:val="0"/>
          <w:numId w:val="0"/>
        </w:numPr>
        <w:rPr>
          <w:rFonts w:ascii="Arial" w:hAnsi="Arial" w:cs="Arial"/>
        </w:rPr>
      </w:pPr>
      <w:bookmarkStart w:id="54" w:name="_Toc193807063"/>
      <w:bookmarkStart w:id="55" w:name="_Toc193808818"/>
      <w:bookmarkStart w:id="56" w:name="_Toc198631592"/>
      <w:bookmarkStart w:id="57" w:name="_Toc198885548"/>
      <w:r w:rsidRPr="00FA6258">
        <w:rPr>
          <w:rFonts w:ascii="Arial" w:hAnsi="Arial" w:cs="Arial"/>
        </w:rPr>
        <w:t xml:space="preserve">5.1 </w:t>
      </w:r>
      <w:r w:rsidR="00862B2C" w:rsidRPr="00FA6258">
        <w:rPr>
          <w:rFonts w:ascii="Arial" w:hAnsi="Arial" w:cs="Arial"/>
        </w:rPr>
        <w:t>Integration of LHEES and LAEP with the emerging Local Development Plan</w:t>
      </w:r>
      <w:bookmarkEnd w:id="54"/>
      <w:bookmarkEnd w:id="55"/>
      <w:r w:rsidR="00862B2C" w:rsidRPr="00FA6258">
        <w:rPr>
          <w:rFonts w:ascii="Arial" w:hAnsi="Arial" w:cs="Arial"/>
        </w:rPr>
        <w:t xml:space="preserve"> (LDP)</w:t>
      </w:r>
      <w:bookmarkEnd w:id="56"/>
      <w:bookmarkEnd w:id="57"/>
    </w:p>
    <w:p w14:paraId="5CCFD8F5" w14:textId="77777777" w:rsidR="00862B2C" w:rsidRPr="00862B2C" w:rsidRDefault="00862B2C" w:rsidP="00862B2C">
      <w:pPr>
        <w:spacing w:line="360" w:lineRule="auto"/>
        <w:rPr>
          <w:rFonts w:ascii="Arial" w:hAnsi="Arial" w:cs="Arial"/>
        </w:rPr>
      </w:pPr>
      <w:r w:rsidRPr="00862B2C">
        <w:rPr>
          <w:rFonts w:ascii="Arial" w:hAnsi="Arial" w:cs="Arial"/>
        </w:rPr>
        <w:t xml:space="preserve">The current LDP (LDP2), adopted in 2019, includes a low-carbon spatial strategy that highlights key opportunities for developing renewable and low-carbon energy </w:t>
      </w:r>
      <w:r w:rsidRPr="00862B2C">
        <w:rPr>
          <w:rFonts w:ascii="Arial" w:hAnsi="Arial" w:cs="Arial"/>
        </w:rPr>
        <w:lastRenderedPageBreak/>
        <w:t xml:space="preserve">sources for transport fuel, electricity, and heat. The council is now in the information-gathering phase for the upcoming LDP3. According to the development programme, the new LDPs will be </w:t>
      </w:r>
      <w:r w:rsidRPr="00862B2C">
        <w:rPr>
          <w:rFonts w:ascii="Arial" w:hAnsi="Arial" w:cs="Arial"/>
          <w:i/>
          <w:iCs/>
        </w:rPr>
        <w:t>“place-based”</w:t>
      </w:r>
      <w:r w:rsidRPr="00862B2C">
        <w:rPr>
          <w:rFonts w:ascii="Arial" w:hAnsi="Arial" w:cs="Arial"/>
        </w:rPr>
        <w:t xml:space="preserve"> documents, emphasising maps, site briefs, and masterplans while using minimal policy wording. Policies and proposals in the LDP will focus on specific places and locations, with National Planning Framework 4 (NPF4) providing the overarching thematic policies to guide decision-making. The evidence underpinning the heat and renewable energy policies in LDP3 will ensure that the plan is more detailed, clear and evidence-based than the previous plan, helping it to become a facilitator for low carbon development.</w:t>
      </w:r>
    </w:p>
    <w:p w14:paraId="2CC30AA5" w14:textId="77777777" w:rsidR="00862B2C" w:rsidRPr="00862B2C" w:rsidRDefault="00862B2C" w:rsidP="00862B2C">
      <w:pPr>
        <w:spacing w:line="360" w:lineRule="auto"/>
        <w:rPr>
          <w:rFonts w:ascii="Arial" w:hAnsi="Arial" w:cs="Arial"/>
        </w:rPr>
      </w:pPr>
      <w:r w:rsidRPr="00862B2C">
        <w:rPr>
          <w:rFonts w:ascii="Arial" w:hAnsi="Arial" w:cs="Arial"/>
        </w:rPr>
        <w:t xml:space="preserve">Perth and Kinross Council are actively integrating the findings of the LHEES and LAEP with the development of LDP3. The council noted that traditionally, planning benefitted from a </w:t>
      </w:r>
      <w:r w:rsidRPr="00862B2C">
        <w:rPr>
          <w:rFonts w:ascii="Arial" w:hAnsi="Arial" w:cs="Arial"/>
          <w:i/>
          <w:iCs/>
        </w:rPr>
        <w:t>“survey, analysis, plan”</w:t>
      </w:r>
      <w:r w:rsidRPr="00862B2C">
        <w:rPr>
          <w:rFonts w:ascii="Arial" w:hAnsi="Arial" w:cs="Arial"/>
        </w:rPr>
        <w:t xml:space="preserve"> approach, which emphasised in-depth data gathering and analysis before action. The LHEES and LAEP processes has enabled this to happen again and to a more detailed extent, through integrating rigorous data collection and analysis from the outset, providing a whole systems understanding to heat and energy. This has ensured that the LDP is informed by a strong evidence base.</w:t>
      </w:r>
    </w:p>
    <w:p w14:paraId="517C1509" w14:textId="77777777" w:rsidR="00862B2C" w:rsidRPr="00862B2C" w:rsidRDefault="00862B2C" w:rsidP="00862B2C">
      <w:pPr>
        <w:spacing w:line="360" w:lineRule="auto"/>
        <w:rPr>
          <w:rFonts w:ascii="Arial" w:hAnsi="Arial" w:cs="Arial"/>
        </w:rPr>
      </w:pPr>
      <w:r w:rsidRPr="00862B2C">
        <w:rPr>
          <w:rFonts w:ascii="Arial" w:hAnsi="Arial" w:cs="Arial"/>
        </w:rPr>
        <w:t>The simultaneous timing of LDP3 development and the publication LHEES/LAEP work has proven advantageous, allowing the council to integrate critical energy and heat priorities directly into emerging town planning policies. As a result, the LDP, with its place-based approach, can be seen as the essential delivery tool for both the LHEES and LAEP.</w:t>
      </w:r>
    </w:p>
    <w:p w14:paraId="203FE3D9" w14:textId="58E4E7CC" w:rsidR="00862B2C" w:rsidRPr="00862B2C" w:rsidRDefault="00FA6258" w:rsidP="00FA6258">
      <w:pPr>
        <w:pStyle w:val="Heading2"/>
        <w:numPr>
          <w:ilvl w:val="0"/>
          <w:numId w:val="0"/>
        </w:numPr>
        <w:ind w:left="576" w:hanging="576"/>
        <w:rPr>
          <w:rFonts w:ascii="Arial" w:hAnsi="Arial" w:cs="Arial"/>
        </w:rPr>
      </w:pPr>
      <w:bookmarkStart w:id="58" w:name="_Toc193808819"/>
      <w:bookmarkStart w:id="59" w:name="_Toc198631593"/>
      <w:bookmarkStart w:id="60" w:name="_Toc198885549"/>
      <w:r>
        <w:rPr>
          <w:rFonts w:ascii="Arial" w:hAnsi="Arial" w:cs="Arial"/>
        </w:rPr>
        <w:t xml:space="preserve">5.2 </w:t>
      </w:r>
      <w:r w:rsidR="00862B2C" w:rsidRPr="00862B2C">
        <w:rPr>
          <w:rFonts w:ascii="Arial" w:hAnsi="Arial" w:cs="Arial"/>
        </w:rPr>
        <w:t>Evidence-based planning for energy, heat, and cooling</w:t>
      </w:r>
      <w:bookmarkEnd w:id="58"/>
      <w:bookmarkEnd w:id="59"/>
      <w:bookmarkEnd w:id="60"/>
    </w:p>
    <w:p w14:paraId="4E14ACAF" w14:textId="77777777" w:rsidR="00862B2C" w:rsidRPr="00862B2C" w:rsidRDefault="00862B2C" w:rsidP="00862B2C">
      <w:pPr>
        <w:spacing w:line="360" w:lineRule="auto"/>
        <w:rPr>
          <w:rFonts w:ascii="Arial" w:hAnsi="Arial" w:cs="Arial"/>
        </w:rPr>
      </w:pPr>
      <w:r w:rsidRPr="00862B2C">
        <w:rPr>
          <w:rFonts w:ascii="Arial" w:hAnsi="Arial" w:cs="Arial"/>
        </w:rPr>
        <w:t xml:space="preserve">To support the development of LDP3, the council has prepared an Energy, Heat, and Cooling topic paper, setting out the key information to be covered by LDP3 to ensure that the plan will be aligned with national and local energy goals. This paper is essentially the tool used to ensure that the LHEES and LEAP directly inform the development of LPD3. By using LHEES and LAEP data, the LDP3’s spatial strategy can more effectively account for future renewable energy developments and heat networks, fulfilling NPF4’s expectations for local energy systems. </w:t>
      </w:r>
    </w:p>
    <w:p w14:paraId="0A319FE7" w14:textId="6AA13424" w:rsidR="00862B2C" w:rsidRPr="00862B2C" w:rsidRDefault="00FA6258" w:rsidP="00FA6258">
      <w:pPr>
        <w:pStyle w:val="Heading2"/>
        <w:numPr>
          <w:ilvl w:val="0"/>
          <w:numId w:val="0"/>
        </w:numPr>
        <w:ind w:left="576" w:hanging="576"/>
        <w:rPr>
          <w:rFonts w:ascii="Arial" w:hAnsi="Arial" w:cs="Arial"/>
          <w:iCs/>
        </w:rPr>
      </w:pPr>
      <w:bookmarkStart w:id="61" w:name="_Toc193808820"/>
      <w:bookmarkStart w:id="62" w:name="_Toc198631594"/>
      <w:bookmarkStart w:id="63" w:name="_Toc198885550"/>
      <w:r>
        <w:rPr>
          <w:rFonts w:ascii="Arial" w:hAnsi="Arial" w:cs="Arial"/>
        </w:rPr>
        <w:lastRenderedPageBreak/>
        <w:t xml:space="preserve">5.3 </w:t>
      </w:r>
      <w:r w:rsidR="00862B2C" w:rsidRPr="00862B2C">
        <w:rPr>
          <w:rFonts w:ascii="Arial" w:hAnsi="Arial" w:cs="Arial"/>
        </w:rPr>
        <w:t>Heat decarbonisation</w:t>
      </w:r>
      <w:bookmarkEnd w:id="61"/>
      <w:bookmarkEnd w:id="62"/>
      <w:bookmarkEnd w:id="63"/>
    </w:p>
    <w:p w14:paraId="2CD00ABB" w14:textId="77777777" w:rsidR="00862B2C" w:rsidRPr="00862B2C" w:rsidRDefault="00862B2C" w:rsidP="00862B2C">
      <w:pPr>
        <w:spacing w:line="360" w:lineRule="auto"/>
        <w:rPr>
          <w:rFonts w:ascii="Arial" w:hAnsi="Arial" w:cs="Arial"/>
        </w:rPr>
      </w:pPr>
      <w:r w:rsidRPr="00862B2C">
        <w:rPr>
          <w:rFonts w:ascii="Arial" w:hAnsi="Arial" w:cs="Arial"/>
        </w:rPr>
        <w:t>Heat decarbonisation and the development of district heating networks are recognised as being a key opportunity within the emerging LDP3. Data and analysis from the LHEES prioritise areas within Perth and Kinross with high potential for efficient heat networks. The local authority recognises the value that the LHEES has provided in terms of capturing the data that shows what needs to be done, enabling heat network zoning to inform site allocations and assessments within the local plan.</w:t>
      </w:r>
    </w:p>
    <w:p w14:paraId="4438690C" w14:textId="77777777" w:rsidR="00862B2C" w:rsidRPr="00862B2C" w:rsidRDefault="00862B2C" w:rsidP="00862B2C">
      <w:pPr>
        <w:spacing w:line="360" w:lineRule="auto"/>
        <w:rPr>
          <w:rFonts w:ascii="Arial" w:hAnsi="Arial" w:cs="Arial"/>
        </w:rPr>
      </w:pPr>
      <w:r w:rsidRPr="00862B2C">
        <w:rPr>
          <w:rFonts w:ascii="Arial" w:hAnsi="Arial" w:cs="Arial"/>
        </w:rPr>
        <w:t>However, the local authority identified the need for further guidance from the Scottish Government, regarding ensuring clarity in policy for both heat network zoning and how this feeds into the local plan. This will be particularly necessary for local authorities who are not updating their local plan at a similar time to their LHEES.</w:t>
      </w:r>
    </w:p>
    <w:p w14:paraId="4322C547" w14:textId="40823985" w:rsidR="00862B2C" w:rsidRPr="00862B2C" w:rsidRDefault="00FA6258" w:rsidP="00FA6258">
      <w:pPr>
        <w:pStyle w:val="Heading1"/>
        <w:numPr>
          <w:ilvl w:val="0"/>
          <w:numId w:val="0"/>
        </w:numPr>
        <w:spacing w:line="276" w:lineRule="auto"/>
        <w:ind w:left="432" w:hanging="432"/>
        <w:rPr>
          <w:rFonts w:ascii="Arial" w:hAnsi="Arial" w:cs="Arial"/>
        </w:rPr>
      </w:pPr>
      <w:bookmarkStart w:id="64" w:name="_Toc193807064"/>
      <w:bookmarkStart w:id="65" w:name="_Toc193808821"/>
      <w:bookmarkStart w:id="66" w:name="_Toc198631595"/>
      <w:bookmarkStart w:id="67" w:name="_Toc198885551"/>
      <w:r>
        <w:rPr>
          <w:rFonts w:ascii="Arial" w:hAnsi="Arial" w:cs="Arial"/>
        </w:rPr>
        <w:t xml:space="preserve">6. </w:t>
      </w:r>
      <w:r w:rsidR="00862B2C" w:rsidRPr="00862B2C">
        <w:rPr>
          <w:rFonts w:ascii="Arial" w:hAnsi="Arial" w:cs="Arial"/>
        </w:rPr>
        <w:t>Key recommendations from this case study</w:t>
      </w:r>
      <w:bookmarkEnd w:id="64"/>
      <w:bookmarkEnd w:id="65"/>
      <w:bookmarkEnd w:id="66"/>
      <w:bookmarkEnd w:id="67"/>
    </w:p>
    <w:p w14:paraId="27F71F6B" w14:textId="136D9ACB" w:rsidR="00862B2C" w:rsidRPr="00862B2C" w:rsidRDefault="00FA6258" w:rsidP="00FA6258">
      <w:pPr>
        <w:pStyle w:val="Heading2"/>
        <w:numPr>
          <w:ilvl w:val="0"/>
          <w:numId w:val="0"/>
        </w:numPr>
        <w:ind w:left="576" w:hanging="576"/>
        <w:rPr>
          <w:rFonts w:ascii="Arial" w:hAnsi="Arial" w:cs="Arial"/>
        </w:rPr>
      </w:pPr>
      <w:bookmarkStart w:id="68" w:name="_Toc193808822"/>
      <w:bookmarkStart w:id="69" w:name="_Toc198631596"/>
      <w:bookmarkStart w:id="70" w:name="_Toc198885552"/>
      <w:r>
        <w:rPr>
          <w:rFonts w:ascii="Arial" w:hAnsi="Arial" w:cs="Arial"/>
        </w:rPr>
        <w:t xml:space="preserve">6.1 </w:t>
      </w:r>
      <w:r w:rsidR="00862B2C" w:rsidRPr="00862B2C">
        <w:rPr>
          <w:rFonts w:ascii="Arial" w:hAnsi="Arial" w:cs="Arial"/>
        </w:rPr>
        <w:t>Timing and alignment of the LHEES and LAEP with the local plan</w:t>
      </w:r>
      <w:bookmarkEnd w:id="68"/>
      <w:bookmarkEnd w:id="69"/>
      <w:bookmarkEnd w:id="70"/>
    </w:p>
    <w:p w14:paraId="4E7D118E" w14:textId="77777777" w:rsidR="00862B2C" w:rsidRPr="00862B2C" w:rsidRDefault="00862B2C" w:rsidP="00862B2C">
      <w:pPr>
        <w:spacing w:line="360" w:lineRule="auto"/>
        <w:rPr>
          <w:rFonts w:ascii="Arial" w:hAnsi="Arial" w:cs="Arial"/>
        </w:rPr>
      </w:pPr>
      <w:r w:rsidRPr="00862B2C">
        <w:rPr>
          <w:rFonts w:ascii="Arial" w:hAnsi="Arial" w:cs="Arial"/>
        </w:rPr>
        <w:t xml:space="preserve">LHEES and LDPs are both statutory requirements in Scotland and clearer guidance is needed on how these documents should be linked. The timing of the LDP update in Perth and Kinross was fortunate, enabling the integration of the LHEES and LAEP within broader town planning initiatives. For other authorities, where these updates may not align as closely, integrating energy priorities into local plans could present a significant challenge. </w:t>
      </w:r>
    </w:p>
    <w:p w14:paraId="2F174B94" w14:textId="353FA8C4" w:rsidR="00862B2C" w:rsidRPr="00862B2C" w:rsidRDefault="00FA6258" w:rsidP="00FA6258">
      <w:pPr>
        <w:pStyle w:val="Heading2"/>
        <w:numPr>
          <w:ilvl w:val="0"/>
          <w:numId w:val="0"/>
        </w:numPr>
        <w:ind w:left="576" w:hanging="576"/>
        <w:rPr>
          <w:rFonts w:ascii="Arial" w:hAnsi="Arial" w:cs="Arial"/>
        </w:rPr>
      </w:pPr>
      <w:bookmarkStart w:id="71" w:name="_Toc193808823"/>
      <w:bookmarkStart w:id="72" w:name="_Toc198631597"/>
      <w:bookmarkStart w:id="73" w:name="_Toc198885553"/>
      <w:r>
        <w:rPr>
          <w:rFonts w:ascii="Arial" w:hAnsi="Arial" w:cs="Arial"/>
        </w:rPr>
        <w:t xml:space="preserve">6.2 </w:t>
      </w:r>
      <w:r w:rsidR="00862B2C" w:rsidRPr="00862B2C">
        <w:rPr>
          <w:rFonts w:ascii="Arial" w:hAnsi="Arial" w:cs="Arial"/>
        </w:rPr>
        <w:t>Consideration of alignment with national town planning policy</w:t>
      </w:r>
      <w:bookmarkEnd w:id="71"/>
      <w:bookmarkEnd w:id="72"/>
      <w:bookmarkEnd w:id="73"/>
    </w:p>
    <w:p w14:paraId="2BBB422F" w14:textId="77777777" w:rsidR="00862B2C" w:rsidRPr="00862B2C" w:rsidRDefault="00862B2C" w:rsidP="00862B2C">
      <w:pPr>
        <w:spacing w:line="360" w:lineRule="auto"/>
        <w:rPr>
          <w:rFonts w:ascii="Arial" w:hAnsi="Arial" w:cs="Arial"/>
        </w:rPr>
      </w:pPr>
      <w:r w:rsidRPr="00862B2C">
        <w:rPr>
          <w:rFonts w:ascii="Arial" w:hAnsi="Arial" w:cs="Arial"/>
        </w:rPr>
        <w:t xml:space="preserve">As local authorities seek to align their heat, energy and town planning policies with national policies, closer alignment with NPF4 will be crucial. There is room for further clarity and integrated guidance to ensure that energy, planning, and development priorities are cohesive. </w:t>
      </w:r>
    </w:p>
    <w:p w14:paraId="49E6E19C" w14:textId="2A2F588D" w:rsidR="00862B2C" w:rsidRPr="00862B2C" w:rsidRDefault="00FA6258" w:rsidP="00FA6258">
      <w:pPr>
        <w:pStyle w:val="Heading2"/>
        <w:numPr>
          <w:ilvl w:val="0"/>
          <w:numId w:val="0"/>
        </w:numPr>
        <w:ind w:left="576" w:hanging="576"/>
        <w:rPr>
          <w:rFonts w:ascii="Arial" w:hAnsi="Arial" w:cs="Arial"/>
        </w:rPr>
      </w:pPr>
      <w:bookmarkStart w:id="74" w:name="_Toc193808824"/>
      <w:bookmarkStart w:id="75" w:name="_Toc198631598"/>
      <w:bookmarkStart w:id="76" w:name="_Toc198885554"/>
      <w:r>
        <w:rPr>
          <w:rFonts w:ascii="Arial" w:hAnsi="Arial" w:cs="Arial"/>
        </w:rPr>
        <w:t xml:space="preserve">6.3 </w:t>
      </w:r>
      <w:r w:rsidR="00862B2C" w:rsidRPr="00862B2C">
        <w:rPr>
          <w:rFonts w:ascii="Arial" w:hAnsi="Arial" w:cs="Arial"/>
        </w:rPr>
        <w:t>The need for future investment in renewable energy and heat projects</w:t>
      </w:r>
      <w:bookmarkEnd w:id="74"/>
      <w:bookmarkEnd w:id="75"/>
      <w:bookmarkEnd w:id="76"/>
    </w:p>
    <w:p w14:paraId="2F2F5B49" w14:textId="103AD8E3" w:rsidR="00150E7C" w:rsidRPr="00862B2C" w:rsidRDefault="00862B2C" w:rsidP="00862B2C">
      <w:pPr>
        <w:spacing w:line="360" w:lineRule="auto"/>
        <w:rPr>
          <w:rFonts w:ascii="Arial" w:hAnsi="Arial" w:cs="Arial"/>
        </w:rPr>
      </w:pPr>
      <w:r w:rsidRPr="00862B2C">
        <w:rPr>
          <w:rFonts w:ascii="Arial" w:hAnsi="Arial" w:cs="Arial"/>
        </w:rPr>
        <w:t>The structured approach to gathering data provided by the LHEES and LAEP enables more informed planning for strategic investment and helps integrate local and national priorities. Yet successful outcomes also rely on deeper collaboration with the private sector, as ongoing investment and technical partnerships will be essential.</w:t>
      </w:r>
    </w:p>
    <w:p w14:paraId="2EC31738" w14:textId="1A3CF27D" w:rsidR="00977ACC" w:rsidRPr="00862B2C" w:rsidRDefault="00977ACC" w:rsidP="00FA6258">
      <w:pPr>
        <w:pStyle w:val="Heading1"/>
        <w:numPr>
          <w:ilvl w:val="0"/>
          <w:numId w:val="0"/>
        </w:numPr>
        <w:ind w:left="432" w:hanging="432"/>
        <w:rPr>
          <w:rFonts w:ascii="Arial" w:hAnsi="Arial" w:cs="Arial"/>
        </w:rPr>
      </w:pPr>
      <w:bookmarkStart w:id="77" w:name="_Toc198885555"/>
      <w:r w:rsidRPr="00862B2C">
        <w:rPr>
          <w:rFonts w:ascii="Arial" w:hAnsi="Arial" w:cs="Arial"/>
        </w:rPr>
        <w:lastRenderedPageBreak/>
        <w:t>RTPI - Royal Town Planning Institute</w:t>
      </w:r>
      <w:bookmarkEnd w:id="27"/>
      <w:bookmarkEnd w:id="28"/>
      <w:bookmarkEnd w:id="29"/>
      <w:bookmarkEnd w:id="77"/>
    </w:p>
    <w:p w14:paraId="1BC944D0" w14:textId="4FBF98AA" w:rsidR="00BE38A7" w:rsidRPr="00862B2C" w:rsidRDefault="0064397A" w:rsidP="00371E53">
      <w:pPr>
        <w:spacing w:line="360" w:lineRule="auto"/>
        <w:rPr>
          <w:rFonts w:ascii="Arial" w:hAnsi="Arial" w:cs="Arial"/>
        </w:rPr>
      </w:pPr>
      <w:hyperlink r:id="rId17" w:history="1">
        <w:r w:rsidR="00977ACC" w:rsidRPr="00862B2C">
          <w:rPr>
            <w:rStyle w:val="Hyperlink"/>
            <w:rFonts w:ascii="Arial" w:hAnsi="Arial" w:cs="Arial"/>
          </w:rPr>
          <w:t>research@rtpi.org.uk</w:t>
        </w:r>
      </w:hyperlink>
      <w:r w:rsidR="00977ACC" w:rsidRPr="00862B2C">
        <w:rPr>
          <w:rFonts w:ascii="Arial" w:hAnsi="Arial" w:cs="Arial"/>
        </w:rPr>
        <w:t xml:space="preserve"> </w:t>
      </w:r>
    </w:p>
    <w:p w14:paraId="184CE366" w14:textId="0B54E330" w:rsidR="00EF537A" w:rsidRPr="00862B2C" w:rsidRDefault="00EF537A" w:rsidP="00371E53">
      <w:pPr>
        <w:spacing w:line="360" w:lineRule="auto"/>
        <w:rPr>
          <w:rFonts w:ascii="Arial" w:hAnsi="Arial" w:cs="Arial"/>
        </w:rPr>
      </w:pPr>
      <w:r w:rsidRPr="00862B2C">
        <w:rPr>
          <w:rFonts w:ascii="Arial" w:hAnsi="Arial" w:cs="Arial"/>
        </w:rPr>
        <w:t>Royal Town Planning Institute</w:t>
      </w:r>
      <w:r w:rsidR="00F95A13" w:rsidRPr="00862B2C">
        <w:rPr>
          <w:rFonts w:ascii="Arial" w:hAnsi="Arial" w:cs="Arial"/>
        </w:rPr>
        <w:t>.</w:t>
      </w:r>
    </w:p>
    <w:p w14:paraId="58BC8BCE" w14:textId="77777777" w:rsidR="00EF537A" w:rsidRPr="00862B2C" w:rsidRDefault="00EF537A" w:rsidP="00371E53">
      <w:pPr>
        <w:spacing w:line="360" w:lineRule="auto"/>
        <w:rPr>
          <w:rFonts w:ascii="Arial" w:hAnsi="Arial" w:cs="Arial"/>
        </w:rPr>
      </w:pPr>
      <w:r w:rsidRPr="00862B2C">
        <w:rPr>
          <w:rFonts w:ascii="Arial" w:hAnsi="Arial" w:cs="Arial"/>
        </w:rPr>
        <w:t>41 Botolph Lane, London EC3R 8DL.</w:t>
      </w:r>
    </w:p>
    <w:p w14:paraId="260FC1BB" w14:textId="544C502D" w:rsidR="00BE38A7" w:rsidRPr="00862B2C" w:rsidRDefault="00EF537A" w:rsidP="00371E53">
      <w:pPr>
        <w:spacing w:line="360" w:lineRule="auto"/>
        <w:rPr>
          <w:rFonts w:ascii="Arial" w:hAnsi="Arial" w:cs="Arial"/>
        </w:rPr>
      </w:pPr>
      <w:r w:rsidRPr="00862B2C">
        <w:rPr>
          <w:rFonts w:ascii="Arial" w:hAnsi="Arial" w:cs="Arial"/>
        </w:rPr>
        <w:t>Registered Charity in England (262865) &amp; Scotland (SC037841)</w:t>
      </w:r>
    </w:p>
    <w:sectPr w:rsidR="00BE38A7" w:rsidRPr="00862B2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C6AD" w14:textId="77777777" w:rsidR="0078246F" w:rsidRDefault="0078246F" w:rsidP="00D948ED">
      <w:pPr>
        <w:spacing w:after="0" w:line="240" w:lineRule="auto"/>
      </w:pPr>
      <w:r>
        <w:separator/>
      </w:r>
    </w:p>
  </w:endnote>
  <w:endnote w:type="continuationSeparator" w:id="0">
    <w:p w14:paraId="7A1164EC" w14:textId="77777777" w:rsidR="0078246F" w:rsidRDefault="0078246F" w:rsidP="00D9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EndPr/>
    <w:sdtContent>
      <w:sdt>
        <w:sdtPr>
          <w:id w:val="1728636285"/>
          <w:docPartObj>
            <w:docPartGallery w:val="Page Numbers (Top of Page)"/>
            <w:docPartUnique/>
          </w:docPartObj>
        </w:sdtPr>
        <w:sdtEnd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28B5" w14:textId="77777777" w:rsidR="0078246F" w:rsidRDefault="0078246F" w:rsidP="00D948ED">
      <w:pPr>
        <w:spacing w:after="0" w:line="240" w:lineRule="auto"/>
      </w:pPr>
      <w:r>
        <w:separator/>
      </w:r>
    </w:p>
  </w:footnote>
  <w:footnote w:type="continuationSeparator" w:id="0">
    <w:p w14:paraId="4C673D10" w14:textId="77777777" w:rsidR="0078246F" w:rsidRDefault="0078246F" w:rsidP="00D9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16D"/>
    <w:multiLevelType w:val="hybridMultilevel"/>
    <w:tmpl w:val="DB42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B08CF"/>
    <w:multiLevelType w:val="hybridMultilevel"/>
    <w:tmpl w:val="BF9425A0"/>
    <w:lvl w:ilvl="0" w:tplc="199829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4454D"/>
    <w:multiLevelType w:val="hybridMultilevel"/>
    <w:tmpl w:val="ADFA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31E62"/>
    <w:multiLevelType w:val="hybridMultilevel"/>
    <w:tmpl w:val="8B8C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1238E"/>
    <w:multiLevelType w:val="hybridMultilevel"/>
    <w:tmpl w:val="8D02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00EC4"/>
    <w:multiLevelType w:val="hybridMultilevel"/>
    <w:tmpl w:val="658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7647E"/>
    <w:multiLevelType w:val="hybridMultilevel"/>
    <w:tmpl w:val="ED8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12E1C"/>
    <w:multiLevelType w:val="hybridMultilevel"/>
    <w:tmpl w:val="28B6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F4432"/>
    <w:multiLevelType w:val="hybridMultilevel"/>
    <w:tmpl w:val="F3DC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B7B9A"/>
    <w:multiLevelType w:val="hybridMultilevel"/>
    <w:tmpl w:val="13B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20A6A"/>
    <w:multiLevelType w:val="hybridMultilevel"/>
    <w:tmpl w:val="605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17E51"/>
    <w:multiLevelType w:val="hybridMultilevel"/>
    <w:tmpl w:val="B6345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2E59F4"/>
    <w:multiLevelType w:val="hybridMultilevel"/>
    <w:tmpl w:val="3E72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62CA1"/>
    <w:multiLevelType w:val="hybridMultilevel"/>
    <w:tmpl w:val="BA6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565D8"/>
    <w:multiLevelType w:val="multilevel"/>
    <w:tmpl w:val="08090025"/>
    <w:lvl w:ilvl="0">
      <w:start w:val="1"/>
      <w:numFmt w:val="decimal"/>
      <w:pStyle w:val="Heading1"/>
      <w:lvlText w:val="%1"/>
      <w:lvlJc w:val="left"/>
      <w:pPr>
        <w:ind w:left="468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2"/>
  </w:num>
  <w:num w:numId="2" w16cid:durableId="2031760273">
    <w:abstractNumId w:val="2"/>
  </w:num>
  <w:num w:numId="3" w16cid:durableId="756904798">
    <w:abstractNumId w:val="8"/>
  </w:num>
  <w:num w:numId="4" w16cid:durableId="1459109627">
    <w:abstractNumId w:val="17"/>
  </w:num>
  <w:num w:numId="5" w16cid:durableId="387145207">
    <w:abstractNumId w:val="3"/>
  </w:num>
  <w:num w:numId="6" w16cid:durableId="68163361">
    <w:abstractNumId w:val="21"/>
  </w:num>
  <w:num w:numId="7" w16cid:durableId="1966957793">
    <w:abstractNumId w:val="12"/>
  </w:num>
  <w:num w:numId="8" w16cid:durableId="1881747700">
    <w:abstractNumId w:val="7"/>
  </w:num>
  <w:num w:numId="9" w16cid:durableId="1266840740">
    <w:abstractNumId w:val="22"/>
  </w:num>
  <w:num w:numId="10" w16cid:durableId="1887334954">
    <w:abstractNumId w:val="0"/>
  </w:num>
  <w:num w:numId="11" w16cid:durableId="640235661">
    <w:abstractNumId w:val="11"/>
  </w:num>
  <w:num w:numId="12" w16cid:durableId="1108887569">
    <w:abstractNumId w:val="20"/>
  </w:num>
  <w:num w:numId="13" w16cid:durableId="497188817">
    <w:abstractNumId w:val="10"/>
  </w:num>
  <w:num w:numId="14" w16cid:durableId="1848909110">
    <w:abstractNumId w:val="18"/>
  </w:num>
  <w:num w:numId="15" w16cid:durableId="321810712">
    <w:abstractNumId w:val="1"/>
  </w:num>
  <w:num w:numId="16" w16cid:durableId="360514655">
    <w:abstractNumId w:val="19"/>
  </w:num>
  <w:num w:numId="17" w16cid:durableId="650328759">
    <w:abstractNumId w:val="9"/>
  </w:num>
  <w:num w:numId="18" w16cid:durableId="1804041129">
    <w:abstractNumId w:val="13"/>
  </w:num>
  <w:num w:numId="19" w16cid:durableId="1993607175">
    <w:abstractNumId w:val="6"/>
  </w:num>
  <w:num w:numId="20" w16cid:durableId="2077896735">
    <w:abstractNumId w:val="14"/>
  </w:num>
  <w:num w:numId="21" w16cid:durableId="671184078">
    <w:abstractNumId w:val="15"/>
  </w:num>
  <w:num w:numId="22" w16cid:durableId="1789857640">
    <w:abstractNumId w:val="5"/>
  </w:num>
  <w:num w:numId="23" w16cid:durableId="1212696842">
    <w:abstractNumId w:val="16"/>
  </w:num>
  <w:num w:numId="24" w16cid:durableId="634527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11EFE"/>
    <w:rsid w:val="00021E59"/>
    <w:rsid w:val="00026357"/>
    <w:rsid w:val="0004013B"/>
    <w:rsid w:val="00065702"/>
    <w:rsid w:val="00085F69"/>
    <w:rsid w:val="000A7C75"/>
    <w:rsid w:val="000B258C"/>
    <w:rsid w:val="000D782A"/>
    <w:rsid w:val="000F0C81"/>
    <w:rsid w:val="00104E8B"/>
    <w:rsid w:val="001136FE"/>
    <w:rsid w:val="00123233"/>
    <w:rsid w:val="0014393A"/>
    <w:rsid w:val="00150E7C"/>
    <w:rsid w:val="0015120A"/>
    <w:rsid w:val="00156BEB"/>
    <w:rsid w:val="001651D8"/>
    <w:rsid w:val="001652F8"/>
    <w:rsid w:val="00173B67"/>
    <w:rsid w:val="001820E3"/>
    <w:rsid w:val="001831A5"/>
    <w:rsid w:val="001B63CB"/>
    <w:rsid w:val="001C5DF6"/>
    <w:rsid w:val="001D2A43"/>
    <w:rsid w:val="001F3AAE"/>
    <w:rsid w:val="00200796"/>
    <w:rsid w:val="0021395E"/>
    <w:rsid w:val="00232A41"/>
    <w:rsid w:val="00234BEE"/>
    <w:rsid w:val="002376B9"/>
    <w:rsid w:val="002433B7"/>
    <w:rsid w:val="00245B10"/>
    <w:rsid w:val="00246286"/>
    <w:rsid w:val="00255FF0"/>
    <w:rsid w:val="00264938"/>
    <w:rsid w:val="00282790"/>
    <w:rsid w:val="002925D8"/>
    <w:rsid w:val="00292C21"/>
    <w:rsid w:val="0029548E"/>
    <w:rsid w:val="002D220A"/>
    <w:rsid w:val="002D4377"/>
    <w:rsid w:val="002D5CB7"/>
    <w:rsid w:val="002D5ED0"/>
    <w:rsid w:val="002D64FE"/>
    <w:rsid w:val="002E5586"/>
    <w:rsid w:val="00316A0C"/>
    <w:rsid w:val="00344C9E"/>
    <w:rsid w:val="00365415"/>
    <w:rsid w:val="0036634A"/>
    <w:rsid w:val="00370C89"/>
    <w:rsid w:val="00371E53"/>
    <w:rsid w:val="00380016"/>
    <w:rsid w:val="0039610A"/>
    <w:rsid w:val="00396221"/>
    <w:rsid w:val="00397529"/>
    <w:rsid w:val="003A02E1"/>
    <w:rsid w:val="003B5FF1"/>
    <w:rsid w:val="003C45AF"/>
    <w:rsid w:val="003C72A8"/>
    <w:rsid w:val="003D1B96"/>
    <w:rsid w:val="003E09DC"/>
    <w:rsid w:val="003F1A2D"/>
    <w:rsid w:val="003F5258"/>
    <w:rsid w:val="0040524C"/>
    <w:rsid w:val="00413829"/>
    <w:rsid w:val="00416413"/>
    <w:rsid w:val="00417B99"/>
    <w:rsid w:val="004219D9"/>
    <w:rsid w:val="00440D6A"/>
    <w:rsid w:val="00456F8D"/>
    <w:rsid w:val="00460C48"/>
    <w:rsid w:val="004733FA"/>
    <w:rsid w:val="00477EF2"/>
    <w:rsid w:val="00480ED2"/>
    <w:rsid w:val="004916D0"/>
    <w:rsid w:val="004B4645"/>
    <w:rsid w:val="004D254C"/>
    <w:rsid w:val="004E0E73"/>
    <w:rsid w:val="00531038"/>
    <w:rsid w:val="0053226B"/>
    <w:rsid w:val="0053505B"/>
    <w:rsid w:val="00550290"/>
    <w:rsid w:val="0055182D"/>
    <w:rsid w:val="00576691"/>
    <w:rsid w:val="005B1D38"/>
    <w:rsid w:val="005B537D"/>
    <w:rsid w:val="005B570C"/>
    <w:rsid w:val="005C303B"/>
    <w:rsid w:val="005C39EC"/>
    <w:rsid w:val="005C4047"/>
    <w:rsid w:val="005C5E4D"/>
    <w:rsid w:val="006048EC"/>
    <w:rsid w:val="00605EF1"/>
    <w:rsid w:val="00611B27"/>
    <w:rsid w:val="0063006A"/>
    <w:rsid w:val="00635645"/>
    <w:rsid w:val="00641C33"/>
    <w:rsid w:val="00661B47"/>
    <w:rsid w:val="006A4BDB"/>
    <w:rsid w:val="006A6DD2"/>
    <w:rsid w:val="006C3424"/>
    <w:rsid w:val="006D3335"/>
    <w:rsid w:val="007016CE"/>
    <w:rsid w:val="00705B9F"/>
    <w:rsid w:val="00705C5B"/>
    <w:rsid w:val="00712FF3"/>
    <w:rsid w:val="007469C3"/>
    <w:rsid w:val="0075484A"/>
    <w:rsid w:val="00766470"/>
    <w:rsid w:val="0077138D"/>
    <w:rsid w:val="00774C4B"/>
    <w:rsid w:val="00780058"/>
    <w:rsid w:val="0078246F"/>
    <w:rsid w:val="00790AFB"/>
    <w:rsid w:val="007B054E"/>
    <w:rsid w:val="007C38D6"/>
    <w:rsid w:val="007D7A88"/>
    <w:rsid w:val="00807A6C"/>
    <w:rsid w:val="00814BC3"/>
    <w:rsid w:val="0082700C"/>
    <w:rsid w:val="00830F2D"/>
    <w:rsid w:val="008442D6"/>
    <w:rsid w:val="00846008"/>
    <w:rsid w:val="0085167D"/>
    <w:rsid w:val="00862B2C"/>
    <w:rsid w:val="00864A74"/>
    <w:rsid w:val="00873364"/>
    <w:rsid w:val="008958BB"/>
    <w:rsid w:val="008A51E5"/>
    <w:rsid w:val="008B420F"/>
    <w:rsid w:val="008B520C"/>
    <w:rsid w:val="008C15F5"/>
    <w:rsid w:val="008C7156"/>
    <w:rsid w:val="008D1AB5"/>
    <w:rsid w:val="0090408A"/>
    <w:rsid w:val="00947A4C"/>
    <w:rsid w:val="0095659D"/>
    <w:rsid w:val="00971B8F"/>
    <w:rsid w:val="00977ACC"/>
    <w:rsid w:val="009856C2"/>
    <w:rsid w:val="00986541"/>
    <w:rsid w:val="009911C9"/>
    <w:rsid w:val="00995383"/>
    <w:rsid w:val="009A16F6"/>
    <w:rsid w:val="009A4757"/>
    <w:rsid w:val="009A602E"/>
    <w:rsid w:val="009B60F8"/>
    <w:rsid w:val="009C4C35"/>
    <w:rsid w:val="009D1466"/>
    <w:rsid w:val="009F0582"/>
    <w:rsid w:val="00A131DB"/>
    <w:rsid w:val="00A26B9B"/>
    <w:rsid w:val="00A36E46"/>
    <w:rsid w:val="00A42F85"/>
    <w:rsid w:val="00A50B87"/>
    <w:rsid w:val="00A53572"/>
    <w:rsid w:val="00A742C3"/>
    <w:rsid w:val="00A82C00"/>
    <w:rsid w:val="00A84EBA"/>
    <w:rsid w:val="00A85CFE"/>
    <w:rsid w:val="00A932A1"/>
    <w:rsid w:val="00AA068B"/>
    <w:rsid w:val="00AC4D8B"/>
    <w:rsid w:val="00AE232B"/>
    <w:rsid w:val="00AF7B97"/>
    <w:rsid w:val="00B14BBA"/>
    <w:rsid w:val="00B21B21"/>
    <w:rsid w:val="00B3168F"/>
    <w:rsid w:val="00B33075"/>
    <w:rsid w:val="00B35B24"/>
    <w:rsid w:val="00B53BCB"/>
    <w:rsid w:val="00B54FF2"/>
    <w:rsid w:val="00B570A2"/>
    <w:rsid w:val="00B6151E"/>
    <w:rsid w:val="00B75AD2"/>
    <w:rsid w:val="00B76393"/>
    <w:rsid w:val="00B925F4"/>
    <w:rsid w:val="00B93413"/>
    <w:rsid w:val="00BA4A2B"/>
    <w:rsid w:val="00BB1811"/>
    <w:rsid w:val="00BB3CAA"/>
    <w:rsid w:val="00BD46FB"/>
    <w:rsid w:val="00BE38A7"/>
    <w:rsid w:val="00BF1EA8"/>
    <w:rsid w:val="00C0672F"/>
    <w:rsid w:val="00C06D65"/>
    <w:rsid w:val="00C408AE"/>
    <w:rsid w:val="00C45188"/>
    <w:rsid w:val="00C65483"/>
    <w:rsid w:val="00C66B8E"/>
    <w:rsid w:val="00CA4D03"/>
    <w:rsid w:val="00CB081D"/>
    <w:rsid w:val="00CB7AC7"/>
    <w:rsid w:val="00CE6FC6"/>
    <w:rsid w:val="00CF1CDA"/>
    <w:rsid w:val="00CF3330"/>
    <w:rsid w:val="00D053DB"/>
    <w:rsid w:val="00D068DF"/>
    <w:rsid w:val="00D06EA5"/>
    <w:rsid w:val="00D07BB0"/>
    <w:rsid w:val="00D204DA"/>
    <w:rsid w:val="00D251FB"/>
    <w:rsid w:val="00D35FE1"/>
    <w:rsid w:val="00D430FD"/>
    <w:rsid w:val="00D466BE"/>
    <w:rsid w:val="00D5411D"/>
    <w:rsid w:val="00D60264"/>
    <w:rsid w:val="00D61F8D"/>
    <w:rsid w:val="00D7117A"/>
    <w:rsid w:val="00D77306"/>
    <w:rsid w:val="00D8727B"/>
    <w:rsid w:val="00D9451F"/>
    <w:rsid w:val="00D948ED"/>
    <w:rsid w:val="00DC16B3"/>
    <w:rsid w:val="00DF08A8"/>
    <w:rsid w:val="00E026BF"/>
    <w:rsid w:val="00E152BE"/>
    <w:rsid w:val="00E16225"/>
    <w:rsid w:val="00E20542"/>
    <w:rsid w:val="00E46B47"/>
    <w:rsid w:val="00E57709"/>
    <w:rsid w:val="00E626D1"/>
    <w:rsid w:val="00E753AF"/>
    <w:rsid w:val="00E7586D"/>
    <w:rsid w:val="00E81AA6"/>
    <w:rsid w:val="00E86074"/>
    <w:rsid w:val="00E91CAD"/>
    <w:rsid w:val="00E93888"/>
    <w:rsid w:val="00E94E4E"/>
    <w:rsid w:val="00ED4DFF"/>
    <w:rsid w:val="00EF537A"/>
    <w:rsid w:val="00EF5E9A"/>
    <w:rsid w:val="00F00962"/>
    <w:rsid w:val="00F07872"/>
    <w:rsid w:val="00F26267"/>
    <w:rsid w:val="00F27DB4"/>
    <w:rsid w:val="00F33AE1"/>
    <w:rsid w:val="00F34A0E"/>
    <w:rsid w:val="00F54B26"/>
    <w:rsid w:val="00F564F2"/>
    <w:rsid w:val="00F66EC4"/>
    <w:rsid w:val="00F718AA"/>
    <w:rsid w:val="00F94C13"/>
    <w:rsid w:val="00F95A13"/>
    <w:rsid w:val="00FA6258"/>
    <w:rsid w:val="00FB7DDC"/>
    <w:rsid w:val="00FC785E"/>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2E695015-4217-4047-B8FB-FA06B0EC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numPr>
        <w:numId w:val="6"/>
      </w:numPr>
      <w:spacing w:before="360" w:after="80" w:line="279" w:lineRule="auto"/>
      <w:ind w:left="432"/>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numPr>
        <w:ilvl w:val="1"/>
        <w:numId w:val="6"/>
      </w:numPr>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numPr>
        <w:ilvl w:val="2"/>
        <w:numId w:val="6"/>
      </w:numPr>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numPr>
        <w:ilvl w:val="4"/>
        <w:numId w:val="6"/>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numPr>
        <w:ilvl w:val="5"/>
        <w:numId w:val="6"/>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numPr>
        <w:ilvl w:val="6"/>
        <w:numId w:val="6"/>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numPr>
        <w:ilvl w:val="7"/>
        <w:numId w:val="6"/>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numPr>
        <w:ilvl w:val="8"/>
        <w:numId w:val="6"/>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CB081D"/>
    <w:pPr>
      <w:tabs>
        <w:tab w:val="left" w:pos="440"/>
        <w:tab w:val="right" w:leader="dot" w:pos="9016"/>
      </w:tabs>
      <w:spacing w:after="100"/>
    </w:pPr>
    <w:rPr>
      <w:rFonts w:ascii="Arial" w:hAnsi="Arial" w:cs="Arial"/>
      <w:noProof/>
    </w:r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C06D65"/>
    <w:rPr>
      <w:b/>
      <w:bCs/>
    </w:rPr>
  </w:style>
  <w:style w:type="character" w:customStyle="1" w:styleId="CommentSubjectChar">
    <w:name w:val="Comment Subject Char"/>
    <w:basedOn w:val="CommentTextChar"/>
    <w:link w:val="CommentSubject"/>
    <w:uiPriority w:val="99"/>
    <w:semiHidden/>
    <w:rsid w:val="00C06D65"/>
    <w:rPr>
      <w:rFonts w:ascii="Aptos" w:hAnsi="Aptos"/>
      <w:b/>
      <w:bCs/>
      <w:sz w:val="20"/>
      <w:szCs w:val="20"/>
    </w:rPr>
  </w:style>
  <w:style w:type="paragraph" w:styleId="Revision">
    <w:name w:val="Revision"/>
    <w:hidden/>
    <w:uiPriority w:val="99"/>
    <w:semiHidden/>
    <w:rsid w:val="00D77306"/>
    <w:pPr>
      <w:spacing w:after="0" w:line="240" w:lineRule="auto"/>
    </w:pPr>
    <w:rPr>
      <w:rFonts w:ascii="Aptos" w:hAnsi="Aptos"/>
      <w:sz w:val="24"/>
    </w:rPr>
  </w:style>
  <w:style w:type="character" w:styleId="Mention">
    <w:name w:val="Mention"/>
    <w:basedOn w:val="DefaultParagraphFont"/>
    <w:uiPriority w:val="99"/>
    <w:unhideWhenUsed/>
    <w:rsid w:val="00B934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17" Type="http://schemas.openxmlformats.org/officeDocument/2006/relationships/hyperlink" Target="mailto:research@rtpi.org.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5" Type="http://schemas.openxmlformats.org/officeDocument/2006/relationships/numbering" Target="numbering.xml"/><Relationship Id="rId15" Type="http://schemas.openxmlformats.org/officeDocument/2006/relationships/hyperlink" Target="https://www.pkclimateaction.co.uk/files/LHEES-Strategy_PKC_10.07.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kclimateaction.co.uk/files/LAEP-240130-FINAL-ISSUE_2024-07-26-171311_snvj.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8BA58-46D8-417B-ACA2-1D4DDD7EBA41}">
  <ds:schemaRefs>
    <ds:schemaRef ds:uri="http://schemas.microsoft.com/sharepoint/v3/contenttype/forms"/>
  </ds:schemaRefs>
</ds:datastoreItem>
</file>

<file path=customXml/itemProps3.xml><?xml version="1.0" encoding="utf-8"?>
<ds:datastoreItem xmlns:ds="http://schemas.openxmlformats.org/officeDocument/2006/customXml" ds:itemID="{F459A9B3-69B4-4591-AEB4-4732CE840AC8}">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0d59e599-35bd-4039-b480-078e16f93b9f"/>
    <ds:schemaRef ds:uri="http://schemas.openxmlformats.org/package/2006/metadata/core-properties"/>
    <ds:schemaRef ds:uri="b32135bc-b2ec-415f-b9aa-be28010955f0"/>
    <ds:schemaRef ds:uri="http://www.w3.org/XML/1998/namespace"/>
  </ds:schemaRefs>
</ds:datastoreItem>
</file>

<file path=customXml/itemProps4.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2</cp:revision>
  <dcterms:created xsi:type="dcterms:W3CDTF">2025-06-02T13:54:00Z</dcterms:created>
  <dcterms:modified xsi:type="dcterms:W3CDTF">2025-06-02T13:54:00Z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