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679C" w14:textId="412A4D0C" w:rsidR="000155EC" w:rsidRPr="00D125EC" w:rsidRDefault="00316BBE" w:rsidP="00D125EC">
      <w:pPr>
        <w:pStyle w:val="Title"/>
        <w:spacing w:line="360" w:lineRule="auto"/>
        <w:rPr>
          <w:rFonts w:ascii="Arial" w:hAnsi="Arial" w:cs="Arial"/>
        </w:rPr>
      </w:pPr>
      <w:r w:rsidRPr="00D125EC">
        <w:rPr>
          <w:rFonts w:ascii="Arial" w:hAnsi="Arial" w:cs="Arial"/>
        </w:rPr>
        <w:t>Spatial Approaches to Local Energy Planning (SALEP)</w:t>
      </w:r>
    </w:p>
    <w:p w14:paraId="5398F946" w14:textId="26ACDF9A" w:rsidR="00A40AAE" w:rsidRPr="00D125EC" w:rsidRDefault="00C64E63" w:rsidP="00D125EC">
      <w:pPr>
        <w:pStyle w:val="Title"/>
        <w:spacing w:line="360" w:lineRule="auto"/>
        <w:rPr>
          <w:rFonts w:ascii="Arial" w:hAnsi="Arial" w:cs="Arial"/>
        </w:rPr>
      </w:pPr>
      <w:r>
        <w:rPr>
          <w:rFonts w:ascii="Arial" w:hAnsi="Arial" w:cs="Arial"/>
        </w:rPr>
        <w:t xml:space="preserve">Part two: A guide to energy policy and planning for energy infrastructure across the UK. </w:t>
      </w:r>
    </w:p>
    <w:p w14:paraId="768DC5EF" w14:textId="77777777" w:rsidR="002F4652" w:rsidRPr="001B3BBB" w:rsidRDefault="002F4652" w:rsidP="002F4652">
      <w:pPr>
        <w:pStyle w:val="Heading1"/>
        <w:rPr>
          <w:rFonts w:ascii="Arial" w:hAnsi="Arial" w:cs="Arial"/>
        </w:rPr>
      </w:pPr>
      <w:bookmarkStart w:id="0" w:name="_Toc198879217"/>
      <w:r w:rsidRPr="001B3BBB">
        <w:rPr>
          <w:rFonts w:ascii="Arial" w:hAnsi="Arial" w:cs="Arial"/>
        </w:rPr>
        <w:t>The Royal Town Planning Institute (RTPI)</w:t>
      </w:r>
      <w:bookmarkEnd w:id="0"/>
    </w:p>
    <w:p w14:paraId="1DD1C1F4" w14:textId="35746FC8" w:rsidR="002F3673" w:rsidRPr="00D125EC" w:rsidRDefault="002F4652" w:rsidP="00D125EC">
      <w:r w:rsidRPr="001B3BBB">
        <w:rPr>
          <w:rFonts w:ascii="Arial" w:hAnsi="Arial" w:cs="Arial"/>
          <w:sz w:val="24"/>
          <w:szCs w:val="24"/>
        </w:rPr>
        <w:t>The RTPI champions the power of planning 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 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51838455" w14:textId="77777777" w:rsidR="002B441C" w:rsidRPr="001B3BBB" w:rsidRDefault="002B441C" w:rsidP="002B441C">
      <w:pPr>
        <w:pStyle w:val="Heading1"/>
        <w:spacing w:line="276" w:lineRule="auto"/>
        <w:rPr>
          <w:rFonts w:ascii="Arial" w:hAnsi="Arial" w:cs="Arial"/>
        </w:rPr>
      </w:pPr>
      <w:bookmarkStart w:id="1" w:name="_Toc198879218"/>
      <w:r w:rsidRPr="001B3BBB">
        <w:rPr>
          <w:rFonts w:ascii="Arial" w:hAnsi="Arial" w:cs="Arial"/>
        </w:rPr>
        <w:t xml:space="preserve">This resource is part of the </w:t>
      </w:r>
      <w:r>
        <w:rPr>
          <w:rFonts w:ascii="Arial" w:hAnsi="Arial" w:cs="Arial"/>
        </w:rPr>
        <w:t>Spatial Approaches to Local Energy Planning (</w:t>
      </w:r>
      <w:r w:rsidRPr="001B3BBB">
        <w:rPr>
          <w:rFonts w:ascii="Arial" w:hAnsi="Arial" w:cs="Arial"/>
        </w:rPr>
        <w:t>SALEP</w:t>
      </w:r>
      <w:r>
        <w:rPr>
          <w:rFonts w:ascii="Arial" w:hAnsi="Arial" w:cs="Arial"/>
        </w:rPr>
        <w:t>)</w:t>
      </w:r>
      <w:r w:rsidRPr="001B3BBB">
        <w:rPr>
          <w:rFonts w:ascii="Arial" w:hAnsi="Arial" w:cs="Arial"/>
        </w:rPr>
        <w:t xml:space="preserve"> suite</w:t>
      </w:r>
      <w:bookmarkEnd w:id="1"/>
    </w:p>
    <w:p w14:paraId="3D7899A1" w14:textId="046D90EB" w:rsidR="002B441C" w:rsidRPr="001B3BBB" w:rsidRDefault="002B441C" w:rsidP="00D125EC">
      <w:pPr>
        <w:rPr>
          <w:rFonts w:ascii="Arial" w:hAnsi="Arial" w:cs="Arial"/>
          <w:sz w:val="24"/>
          <w:szCs w:val="24"/>
        </w:rPr>
      </w:pPr>
      <w:r w:rsidRPr="001B3BBB">
        <w:rPr>
          <w:rFonts w:ascii="Arial" w:hAnsi="Arial" w:cs="Arial"/>
          <w:sz w:val="24"/>
          <w:szCs w:val="24"/>
        </w:rPr>
        <w:t xml:space="preserve">This resource is part of the RTPI’s SALEP (Spatial Approaches to Local Energy Planning) suite of guidance, analysis and in-depth case studies on integrating energy planning with town planning across the UK. It was produced in collaboration with </w:t>
      </w:r>
      <w:hyperlink r:id="rId11" w:history="1">
        <w:r w:rsidRPr="006C11A8">
          <w:rPr>
            <w:rStyle w:val="Hyperlink"/>
            <w:rFonts w:ascii="Arial" w:hAnsi="Arial" w:cs="Arial"/>
            <w:sz w:val="24"/>
            <w:szCs w:val="24"/>
          </w:rPr>
          <w:t>Regen</w:t>
        </w:r>
      </w:hyperlink>
      <w:r w:rsidRPr="002D0879">
        <w:rPr>
          <w:rFonts w:ascii="Arial" w:hAnsi="Arial" w:cs="Arial"/>
          <w:sz w:val="24"/>
          <w:szCs w:val="24"/>
        </w:rPr>
        <w:t>.</w:t>
      </w:r>
    </w:p>
    <w:p w14:paraId="238570A6" w14:textId="5D683E51" w:rsidR="002F3673" w:rsidRDefault="002B441C" w:rsidP="002F3673">
      <w:r w:rsidRPr="001B3BBB">
        <w:rPr>
          <w:rFonts w:ascii="Arial" w:hAnsi="Arial" w:cs="Arial"/>
          <w:sz w:val="24"/>
          <w:szCs w:val="24"/>
        </w:rPr>
        <w:t xml:space="preserve">For more information and access to the rest of the suite, please visit the </w:t>
      </w:r>
      <w:hyperlink r:id="rId12" w:history="1">
        <w:r w:rsidRPr="006C11A8">
          <w:rPr>
            <w:rStyle w:val="Hyperlink"/>
            <w:rFonts w:ascii="Arial" w:hAnsi="Arial" w:cs="Arial"/>
            <w:sz w:val="24"/>
            <w:szCs w:val="24"/>
          </w:rPr>
          <w:t>SALEP webpage</w:t>
        </w:r>
      </w:hyperlink>
      <w:r w:rsidRPr="001B3BBB">
        <w:rPr>
          <w:rFonts w:ascii="Arial" w:hAnsi="Arial" w:cs="Arial"/>
          <w:sz w:val="24"/>
          <w:szCs w:val="24"/>
        </w:rPr>
        <w:t>.</w:t>
      </w:r>
    </w:p>
    <w:p w14:paraId="632EA406" w14:textId="4C52D102" w:rsidR="002F3673" w:rsidRPr="00D125EC" w:rsidRDefault="002F3673" w:rsidP="002F3673">
      <w:pPr>
        <w:pStyle w:val="Heading1"/>
        <w:rPr>
          <w:rFonts w:ascii="Arial" w:hAnsi="Arial" w:cs="Arial"/>
        </w:rPr>
      </w:pPr>
      <w:bookmarkStart w:id="2" w:name="_Toc198879219"/>
      <w:r w:rsidRPr="00D125EC">
        <w:rPr>
          <w:rFonts w:ascii="Arial" w:hAnsi="Arial" w:cs="Arial"/>
        </w:rPr>
        <w:t>Authors</w:t>
      </w:r>
      <w:bookmarkEnd w:id="2"/>
    </w:p>
    <w:p w14:paraId="64A63952" w14:textId="77777777" w:rsidR="0086428C" w:rsidRPr="00D125EC" w:rsidRDefault="0086428C" w:rsidP="0086428C">
      <w:pPr>
        <w:rPr>
          <w:rFonts w:ascii="Arial" w:hAnsi="Arial" w:cs="Arial"/>
          <w:sz w:val="24"/>
          <w:szCs w:val="24"/>
        </w:rPr>
      </w:pPr>
      <w:r w:rsidRPr="00D125EC">
        <w:rPr>
          <w:rFonts w:ascii="Arial" w:hAnsi="Arial" w:cs="Arial"/>
          <w:sz w:val="24"/>
          <w:szCs w:val="24"/>
        </w:rPr>
        <w:t xml:space="preserve">This document was produced by the RTPI with input from Regen. </w:t>
      </w:r>
    </w:p>
    <w:p w14:paraId="7652302A" w14:textId="77777777" w:rsidR="0086428C" w:rsidRPr="00D125EC" w:rsidRDefault="0086428C" w:rsidP="00D125EC">
      <w:pPr>
        <w:pStyle w:val="Heading1"/>
        <w:rPr>
          <w:rFonts w:ascii="Arial" w:hAnsi="Arial" w:cs="Arial"/>
          <w:b w:val="0"/>
        </w:rPr>
      </w:pPr>
      <w:bookmarkStart w:id="3" w:name="_Toc198822970"/>
      <w:bookmarkStart w:id="4" w:name="_Toc198879220"/>
      <w:r w:rsidRPr="00D125EC">
        <w:rPr>
          <w:rFonts w:ascii="Arial" w:hAnsi="Arial" w:cs="Arial"/>
        </w:rPr>
        <w:t>Cover image</w:t>
      </w:r>
      <w:bookmarkEnd w:id="3"/>
      <w:bookmarkEnd w:id="4"/>
      <w:r w:rsidRPr="00D125EC">
        <w:rPr>
          <w:rFonts w:ascii="Arial" w:hAnsi="Arial" w:cs="Arial"/>
        </w:rPr>
        <w:t xml:space="preserve"> </w:t>
      </w:r>
    </w:p>
    <w:p w14:paraId="48465381" w14:textId="25FA29EB" w:rsidR="00120B00" w:rsidRDefault="0086428C" w:rsidP="002F3673">
      <w:r w:rsidRPr="00D125EC">
        <w:rPr>
          <w:rFonts w:ascii="Arial" w:hAnsi="Arial" w:cs="Arial"/>
          <w:sz w:val="24"/>
          <w:szCs w:val="24"/>
        </w:rPr>
        <w:t xml:space="preserve">Credit: </w:t>
      </w:r>
      <w:hyperlink r:id="rId13" w:tgtFrame="_blank" w:tooltip="https://www.gettyimages.co.uk/search/photographer?photographer=yevtony" w:history="1">
        <w:proofErr w:type="spellStart"/>
        <w:r w:rsidRPr="00D125EC">
          <w:rPr>
            <w:rStyle w:val="Hyperlink"/>
            <w:rFonts w:ascii="Arial" w:hAnsi="Arial" w:cs="Arial"/>
            <w:sz w:val="24"/>
            <w:szCs w:val="24"/>
          </w:rPr>
          <w:t>yev</w:t>
        </w:r>
        <w:bookmarkStart w:id="5" w:name="_Hlt198816310"/>
        <w:bookmarkStart w:id="6" w:name="_Hlt198816311"/>
        <w:r w:rsidRPr="00D125EC">
          <w:rPr>
            <w:rStyle w:val="Hyperlink"/>
            <w:rFonts w:ascii="Arial" w:hAnsi="Arial" w:cs="Arial"/>
            <w:sz w:val="24"/>
            <w:szCs w:val="24"/>
          </w:rPr>
          <w:t>t</w:t>
        </w:r>
        <w:bookmarkEnd w:id="5"/>
        <w:bookmarkEnd w:id="6"/>
        <w:r w:rsidRPr="00D125EC">
          <w:rPr>
            <w:rStyle w:val="Hyperlink"/>
            <w:rFonts w:ascii="Arial" w:hAnsi="Arial" w:cs="Arial"/>
            <w:sz w:val="24"/>
            <w:szCs w:val="24"/>
          </w:rPr>
          <w:t>ony</w:t>
        </w:r>
        <w:proofErr w:type="spellEnd"/>
      </w:hyperlink>
      <w:r w:rsidRPr="00D125EC">
        <w:rPr>
          <w:rFonts w:ascii="Arial" w:hAnsi="Arial" w:cs="Arial"/>
          <w:sz w:val="24"/>
          <w:szCs w:val="24"/>
        </w:rPr>
        <w:t xml:space="preserve"> </w:t>
      </w:r>
    </w:p>
    <w:bookmarkStart w:id="7" w:name="_Toc198879221" w:displacedByCustomXml="next"/>
    <w:sdt>
      <w:sdtPr>
        <w:rPr>
          <w:rFonts w:ascii="Arial" w:eastAsiaTheme="minorEastAsia" w:hAnsi="Arial" w:cs="Arial"/>
          <w:b w:val="0"/>
          <w:color w:val="auto"/>
          <w:sz w:val="22"/>
          <w:szCs w:val="22"/>
        </w:rPr>
        <w:id w:val="1815444769"/>
        <w:docPartObj>
          <w:docPartGallery w:val="Table of Contents"/>
          <w:docPartUnique/>
        </w:docPartObj>
      </w:sdtPr>
      <w:sdtEndPr>
        <w:rPr>
          <w:noProof/>
        </w:rPr>
      </w:sdtEndPr>
      <w:sdtContent>
        <w:p w14:paraId="383C8FA6" w14:textId="52E8553D" w:rsidR="00693288" w:rsidRPr="00D125EC" w:rsidRDefault="00693288" w:rsidP="00A865F3">
          <w:pPr>
            <w:pStyle w:val="Heading1"/>
            <w:spacing w:line="276" w:lineRule="auto"/>
            <w:rPr>
              <w:rFonts w:ascii="Arial" w:hAnsi="Arial" w:cs="Arial"/>
            </w:rPr>
          </w:pPr>
          <w:r w:rsidRPr="00D125EC">
            <w:rPr>
              <w:rFonts w:ascii="Arial" w:hAnsi="Arial" w:cs="Arial"/>
            </w:rPr>
            <w:t>Contents</w:t>
          </w:r>
          <w:bookmarkEnd w:id="7"/>
        </w:p>
        <w:p w14:paraId="6FC28546" w14:textId="239D5038" w:rsidR="00B3508F" w:rsidRDefault="003C1B27">
          <w:pPr>
            <w:pStyle w:val="TOC1"/>
            <w:tabs>
              <w:tab w:val="right" w:leader="dot" w:pos="9016"/>
            </w:tabs>
            <w:rPr>
              <w:rFonts w:asciiTheme="minorHAnsi" w:eastAsiaTheme="minorEastAsia" w:hAnsiTheme="minorHAnsi"/>
              <w:noProof/>
              <w:sz w:val="24"/>
              <w:szCs w:val="24"/>
              <w:lang w:eastAsia="en-GB"/>
            </w:rPr>
          </w:pPr>
          <w:r w:rsidRPr="00D125EC">
            <w:rPr>
              <w:rFonts w:ascii="Arial" w:hAnsi="Arial" w:cs="Arial"/>
            </w:rPr>
            <w:fldChar w:fldCharType="begin"/>
          </w:r>
          <w:r w:rsidRPr="00D125EC">
            <w:rPr>
              <w:rFonts w:ascii="Arial" w:hAnsi="Arial" w:cs="Arial"/>
            </w:rPr>
            <w:instrText xml:space="preserve"> TOC \o "1-2" \h \z \u </w:instrText>
          </w:r>
          <w:r w:rsidRPr="00D125EC">
            <w:rPr>
              <w:rFonts w:ascii="Arial" w:hAnsi="Arial" w:cs="Arial"/>
            </w:rPr>
            <w:fldChar w:fldCharType="separate"/>
          </w:r>
          <w:hyperlink w:anchor="_Toc198879217" w:history="1">
            <w:r w:rsidR="00B3508F" w:rsidRPr="00B12898">
              <w:rPr>
                <w:rStyle w:val="Hyperlink"/>
                <w:rFonts w:ascii="Arial" w:hAnsi="Arial" w:cs="Arial"/>
                <w:noProof/>
              </w:rPr>
              <w:t>The Royal Town Planning Institute (RTPI)</w:t>
            </w:r>
            <w:r w:rsidR="00B3508F">
              <w:rPr>
                <w:noProof/>
                <w:webHidden/>
              </w:rPr>
              <w:tab/>
            </w:r>
            <w:r w:rsidR="00B3508F">
              <w:rPr>
                <w:noProof/>
                <w:webHidden/>
              </w:rPr>
              <w:fldChar w:fldCharType="begin"/>
            </w:r>
            <w:r w:rsidR="00B3508F">
              <w:rPr>
                <w:noProof/>
                <w:webHidden/>
              </w:rPr>
              <w:instrText xml:space="preserve"> PAGEREF _Toc198879217 \h </w:instrText>
            </w:r>
            <w:r w:rsidR="00B3508F">
              <w:rPr>
                <w:noProof/>
                <w:webHidden/>
              </w:rPr>
            </w:r>
            <w:r w:rsidR="00B3508F">
              <w:rPr>
                <w:noProof/>
                <w:webHidden/>
              </w:rPr>
              <w:fldChar w:fldCharType="separate"/>
            </w:r>
            <w:r w:rsidR="00B3508F">
              <w:rPr>
                <w:noProof/>
                <w:webHidden/>
              </w:rPr>
              <w:t>1</w:t>
            </w:r>
            <w:r w:rsidR="00B3508F">
              <w:rPr>
                <w:noProof/>
                <w:webHidden/>
              </w:rPr>
              <w:fldChar w:fldCharType="end"/>
            </w:r>
          </w:hyperlink>
        </w:p>
        <w:p w14:paraId="147FBD7A" w14:textId="2B6AE2D8"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18" w:history="1">
            <w:r w:rsidRPr="00B12898">
              <w:rPr>
                <w:rStyle w:val="Hyperlink"/>
                <w:rFonts w:ascii="Arial" w:hAnsi="Arial" w:cs="Arial"/>
                <w:noProof/>
              </w:rPr>
              <w:t>This resource is part of the Spatial Approaches to Local Energy Planning (SALEP) suite</w:t>
            </w:r>
            <w:r>
              <w:rPr>
                <w:noProof/>
                <w:webHidden/>
              </w:rPr>
              <w:tab/>
            </w:r>
            <w:r>
              <w:rPr>
                <w:noProof/>
                <w:webHidden/>
              </w:rPr>
              <w:fldChar w:fldCharType="begin"/>
            </w:r>
            <w:r>
              <w:rPr>
                <w:noProof/>
                <w:webHidden/>
              </w:rPr>
              <w:instrText xml:space="preserve"> PAGEREF _Toc198879218 \h </w:instrText>
            </w:r>
            <w:r>
              <w:rPr>
                <w:noProof/>
                <w:webHidden/>
              </w:rPr>
            </w:r>
            <w:r>
              <w:rPr>
                <w:noProof/>
                <w:webHidden/>
              </w:rPr>
              <w:fldChar w:fldCharType="separate"/>
            </w:r>
            <w:r>
              <w:rPr>
                <w:noProof/>
                <w:webHidden/>
              </w:rPr>
              <w:t>1</w:t>
            </w:r>
            <w:r>
              <w:rPr>
                <w:noProof/>
                <w:webHidden/>
              </w:rPr>
              <w:fldChar w:fldCharType="end"/>
            </w:r>
          </w:hyperlink>
        </w:p>
        <w:p w14:paraId="0394AC4B" w14:textId="5225FB3F"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19" w:history="1">
            <w:r w:rsidRPr="00B12898">
              <w:rPr>
                <w:rStyle w:val="Hyperlink"/>
                <w:rFonts w:ascii="Arial" w:hAnsi="Arial" w:cs="Arial"/>
                <w:noProof/>
              </w:rPr>
              <w:t>Authors</w:t>
            </w:r>
            <w:r>
              <w:rPr>
                <w:noProof/>
                <w:webHidden/>
              </w:rPr>
              <w:tab/>
            </w:r>
            <w:r>
              <w:rPr>
                <w:noProof/>
                <w:webHidden/>
              </w:rPr>
              <w:fldChar w:fldCharType="begin"/>
            </w:r>
            <w:r>
              <w:rPr>
                <w:noProof/>
                <w:webHidden/>
              </w:rPr>
              <w:instrText xml:space="preserve"> PAGEREF _Toc198879219 \h </w:instrText>
            </w:r>
            <w:r>
              <w:rPr>
                <w:noProof/>
                <w:webHidden/>
              </w:rPr>
            </w:r>
            <w:r>
              <w:rPr>
                <w:noProof/>
                <w:webHidden/>
              </w:rPr>
              <w:fldChar w:fldCharType="separate"/>
            </w:r>
            <w:r>
              <w:rPr>
                <w:noProof/>
                <w:webHidden/>
              </w:rPr>
              <w:t>1</w:t>
            </w:r>
            <w:r>
              <w:rPr>
                <w:noProof/>
                <w:webHidden/>
              </w:rPr>
              <w:fldChar w:fldCharType="end"/>
            </w:r>
          </w:hyperlink>
        </w:p>
        <w:p w14:paraId="79A26AD8" w14:textId="41BABD95"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0" w:history="1">
            <w:r w:rsidRPr="00B12898">
              <w:rPr>
                <w:rStyle w:val="Hyperlink"/>
                <w:rFonts w:ascii="Arial" w:hAnsi="Arial" w:cs="Arial"/>
                <w:noProof/>
              </w:rPr>
              <w:t>Cover image</w:t>
            </w:r>
            <w:r>
              <w:rPr>
                <w:noProof/>
                <w:webHidden/>
              </w:rPr>
              <w:tab/>
            </w:r>
            <w:r>
              <w:rPr>
                <w:noProof/>
                <w:webHidden/>
              </w:rPr>
              <w:fldChar w:fldCharType="begin"/>
            </w:r>
            <w:r>
              <w:rPr>
                <w:noProof/>
                <w:webHidden/>
              </w:rPr>
              <w:instrText xml:space="preserve"> PAGEREF _Toc198879220 \h </w:instrText>
            </w:r>
            <w:r>
              <w:rPr>
                <w:noProof/>
                <w:webHidden/>
              </w:rPr>
            </w:r>
            <w:r>
              <w:rPr>
                <w:noProof/>
                <w:webHidden/>
              </w:rPr>
              <w:fldChar w:fldCharType="separate"/>
            </w:r>
            <w:r>
              <w:rPr>
                <w:noProof/>
                <w:webHidden/>
              </w:rPr>
              <w:t>1</w:t>
            </w:r>
            <w:r>
              <w:rPr>
                <w:noProof/>
                <w:webHidden/>
              </w:rPr>
              <w:fldChar w:fldCharType="end"/>
            </w:r>
          </w:hyperlink>
        </w:p>
        <w:p w14:paraId="66E9EA1C" w14:textId="430292E5"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1" w:history="1">
            <w:r w:rsidRPr="00B12898">
              <w:rPr>
                <w:rStyle w:val="Hyperlink"/>
                <w:rFonts w:ascii="Arial" w:hAnsi="Arial" w:cs="Arial"/>
                <w:noProof/>
              </w:rPr>
              <w:t>Contents</w:t>
            </w:r>
            <w:r>
              <w:rPr>
                <w:noProof/>
                <w:webHidden/>
              </w:rPr>
              <w:tab/>
            </w:r>
            <w:r>
              <w:rPr>
                <w:noProof/>
                <w:webHidden/>
              </w:rPr>
              <w:fldChar w:fldCharType="begin"/>
            </w:r>
            <w:r>
              <w:rPr>
                <w:noProof/>
                <w:webHidden/>
              </w:rPr>
              <w:instrText xml:space="preserve"> PAGEREF _Toc198879221 \h </w:instrText>
            </w:r>
            <w:r>
              <w:rPr>
                <w:noProof/>
                <w:webHidden/>
              </w:rPr>
            </w:r>
            <w:r>
              <w:rPr>
                <w:noProof/>
                <w:webHidden/>
              </w:rPr>
              <w:fldChar w:fldCharType="separate"/>
            </w:r>
            <w:r>
              <w:rPr>
                <w:noProof/>
                <w:webHidden/>
              </w:rPr>
              <w:t>3</w:t>
            </w:r>
            <w:r>
              <w:rPr>
                <w:noProof/>
                <w:webHidden/>
              </w:rPr>
              <w:fldChar w:fldCharType="end"/>
            </w:r>
          </w:hyperlink>
        </w:p>
        <w:p w14:paraId="36C727F0" w14:textId="13FE0DAD"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2" w:history="1">
            <w:r w:rsidRPr="00B12898">
              <w:rPr>
                <w:rStyle w:val="Hyperlink"/>
                <w:rFonts w:ascii="Arial" w:hAnsi="Arial" w:cs="Arial"/>
                <w:noProof/>
              </w:rPr>
              <w:t>1. Introduction</w:t>
            </w:r>
            <w:r>
              <w:rPr>
                <w:noProof/>
                <w:webHidden/>
              </w:rPr>
              <w:tab/>
            </w:r>
            <w:r>
              <w:rPr>
                <w:noProof/>
                <w:webHidden/>
              </w:rPr>
              <w:fldChar w:fldCharType="begin"/>
            </w:r>
            <w:r>
              <w:rPr>
                <w:noProof/>
                <w:webHidden/>
              </w:rPr>
              <w:instrText xml:space="preserve"> PAGEREF _Toc198879222 \h </w:instrText>
            </w:r>
            <w:r>
              <w:rPr>
                <w:noProof/>
                <w:webHidden/>
              </w:rPr>
            </w:r>
            <w:r>
              <w:rPr>
                <w:noProof/>
                <w:webHidden/>
              </w:rPr>
              <w:fldChar w:fldCharType="separate"/>
            </w:r>
            <w:r>
              <w:rPr>
                <w:noProof/>
                <w:webHidden/>
              </w:rPr>
              <w:t>5</w:t>
            </w:r>
            <w:r>
              <w:rPr>
                <w:noProof/>
                <w:webHidden/>
              </w:rPr>
              <w:fldChar w:fldCharType="end"/>
            </w:r>
          </w:hyperlink>
        </w:p>
        <w:p w14:paraId="1153EE05" w14:textId="63DE785B"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23" w:history="1">
            <w:r w:rsidRPr="00B12898">
              <w:rPr>
                <w:rStyle w:val="Hyperlink"/>
                <w:noProof/>
              </w:rPr>
              <w:t>1.</w:t>
            </w:r>
            <w:r w:rsidRPr="00B12898">
              <w:rPr>
                <w:rStyle w:val="Hyperlink"/>
                <w:rFonts w:ascii="Arial" w:hAnsi="Arial" w:cs="Arial"/>
                <w:noProof/>
              </w:rPr>
              <w:t>1 A complex landscape</w:t>
            </w:r>
            <w:r>
              <w:rPr>
                <w:noProof/>
                <w:webHidden/>
              </w:rPr>
              <w:tab/>
            </w:r>
            <w:r>
              <w:rPr>
                <w:noProof/>
                <w:webHidden/>
              </w:rPr>
              <w:fldChar w:fldCharType="begin"/>
            </w:r>
            <w:r>
              <w:rPr>
                <w:noProof/>
                <w:webHidden/>
              </w:rPr>
              <w:instrText xml:space="preserve"> PAGEREF _Toc198879223 \h </w:instrText>
            </w:r>
            <w:r>
              <w:rPr>
                <w:noProof/>
                <w:webHidden/>
              </w:rPr>
            </w:r>
            <w:r>
              <w:rPr>
                <w:noProof/>
                <w:webHidden/>
              </w:rPr>
              <w:fldChar w:fldCharType="separate"/>
            </w:r>
            <w:r>
              <w:rPr>
                <w:noProof/>
                <w:webHidden/>
              </w:rPr>
              <w:t>5</w:t>
            </w:r>
            <w:r>
              <w:rPr>
                <w:noProof/>
                <w:webHidden/>
              </w:rPr>
              <w:fldChar w:fldCharType="end"/>
            </w:r>
          </w:hyperlink>
        </w:p>
        <w:p w14:paraId="5BDEE266" w14:textId="3D6A31FB"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24" w:history="1">
            <w:r w:rsidRPr="00B12898">
              <w:rPr>
                <w:rStyle w:val="Hyperlink"/>
                <w:rFonts w:ascii="Arial" w:hAnsi="Arial" w:cs="Arial"/>
                <w:noProof/>
              </w:rPr>
              <w:t>1.2 This resource: Navigating changing energy infrastructure-related planning regimes and energy policy</w:t>
            </w:r>
            <w:r>
              <w:rPr>
                <w:noProof/>
                <w:webHidden/>
              </w:rPr>
              <w:tab/>
            </w:r>
            <w:r>
              <w:rPr>
                <w:noProof/>
                <w:webHidden/>
              </w:rPr>
              <w:fldChar w:fldCharType="begin"/>
            </w:r>
            <w:r>
              <w:rPr>
                <w:noProof/>
                <w:webHidden/>
              </w:rPr>
              <w:instrText xml:space="preserve"> PAGEREF _Toc198879224 \h </w:instrText>
            </w:r>
            <w:r>
              <w:rPr>
                <w:noProof/>
                <w:webHidden/>
              </w:rPr>
            </w:r>
            <w:r>
              <w:rPr>
                <w:noProof/>
                <w:webHidden/>
              </w:rPr>
              <w:fldChar w:fldCharType="separate"/>
            </w:r>
            <w:r>
              <w:rPr>
                <w:noProof/>
                <w:webHidden/>
              </w:rPr>
              <w:t>5</w:t>
            </w:r>
            <w:r>
              <w:rPr>
                <w:noProof/>
                <w:webHidden/>
              </w:rPr>
              <w:fldChar w:fldCharType="end"/>
            </w:r>
          </w:hyperlink>
        </w:p>
        <w:p w14:paraId="10A03FD2" w14:textId="3F19A71C"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5" w:history="1">
            <w:r w:rsidRPr="00B12898">
              <w:rPr>
                <w:rStyle w:val="Hyperlink"/>
                <w:rFonts w:ascii="Arial" w:hAnsi="Arial" w:cs="Arial"/>
                <w:noProof/>
              </w:rPr>
              <w:t>2. National energy policy and targets</w:t>
            </w:r>
            <w:r>
              <w:rPr>
                <w:noProof/>
                <w:webHidden/>
              </w:rPr>
              <w:tab/>
            </w:r>
            <w:r>
              <w:rPr>
                <w:noProof/>
                <w:webHidden/>
              </w:rPr>
              <w:fldChar w:fldCharType="begin"/>
            </w:r>
            <w:r>
              <w:rPr>
                <w:noProof/>
                <w:webHidden/>
              </w:rPr>
              <w:instrText xml:space="preserve"> PAGEREF _Toc198879225 \h </w:instrText>
            </w:r>
            <w:r>
              <w:rPr>
                <w:noProof/>
                <w:webHidden/>
              </w:rPr>
            </w:r>
            <w:r>
              <w:rPr>
                <w:noProof/>
                <w:webHidden/>
              </w:rPr>
              <w:fldChar w:fldCharType="separate"/>
            </w:r>
            <w:r>
              <w:rPr>
                <w:noProof/>
                <w:webHidden/>
              </w:rPr>
              <w:t>6</w:t>
            </w:r>
            <w:r>
              <w:rPr>
                <w:noProof/>
                <w:webHidden/>
              </w:rPr>
              <w:fldChar w:fldCharType="end"/>
            </w:r>
          </w:hyperlink>
        </w:p>
        <w:p w14:paraId="6EBD09D1" w14:textId="1A0639D9"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6" w:history="1">
            <w:r w:rsidRPr="00B12898">
              <w:rPr>
                <w:rStyle w:val="Hyperlink"/>
                <w:rFonts w:ascii="Arial" w:hAnsi="Arial" w:cs="Arial"/>
                <w:noProof/>
              </w:rPr>
              <w:t>3. Electricity transmission</w:t>
            </w:r>
            <w:r>
              <w:rPr>
                <w:noProof/>
                <w:webHidden/>
              </w:rPr>
              <w:tab/>
            </w:r>
            <w:r>
              <w:rPr>
                <w:noProof/>
                <w:webHidden/>
              </w:rPr>
              <w:fldChar w:fldCharType="begin"/>
            </w:r>
            <w:r>
              <w:rPr>
                <w:noProof/>
                <w:webHidden/>
              </w:rPr>
              <w:instrText xml:space="preserve"> PAGEREF _Toc198879226 \h </w:instrText>
            </w:r>
            <w:r>
              <w:rPr>
                <w:noProof/>
                <w:webHidden/>
              </w:rPr>
            </w:r>
            <w:r>
              <w:rPr>
                <w:noProof/>
                <w:webHidden/>
              </w:rPr>
              <w:fldChar w:fldCharType="separate"/>
            </w:r>
            <w:r>
              <w:rPr>
                <w:noProof/>
                <w:webHidden/>
              </w:rPr>
              <w:t>6</w:t>
            </w:r>
            <w:r>
              <w:rPr>
                <w:noProof/>
                <w:webHidden/>
              </w:rPr>
              <w:fldChar w:fldCharType="end"/>
            </w:r>
          </w:hyperlink>
        </w:p>
        <w:p w14:paraId="652E8F69" w14:textId="19B5250F"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7" w:history="1">
            <w:r w:rsidRPr="00B12898">
              <w:rPr>
                <w:rStyle w:val="Hyperlink"/>
                <w:rFonts w:ascii="Arial" w:hAnsi="Arial" w:cs="Arial"/>
                <w:noProof/>
              </w:rPr>
              <w:t>4. Electricity distribution</w:t>
            </w:r>
            <w:r>
              <w:rPr>
                <w:noProof/>
                <w:webHidden/>
              </w:rPr>
              <w:tab/>
            </w:r>
            <w:r>
              <w:rPr>
                <w:noProof/>
                <w:webHidden/>
              </w:rPr>
              <w:fldChar w:fldCharType="begin"/>
            </w:r>
            <w:r>
              <w:rPr>
                <w:noProof/>
                <w:webHidden/>
              </w:rPr>
              <w:instrText xml:space="preserve"> PAGEREF _Toc198879227 \h </w:instrText>
            </w:r>
            <w:r>
              <w:rPr>
                <w:noProof/>
                <w:webHidden/>
              </w:rPr>
            </w:r>
            <w:r>
              <w:rPr>
                <w:noProof/>
                <w:webHidden/>
              </w:rPr>
              <w:fldChar w:fldCharType="separate"/>
            </w:r>
            <w:r>
              <w:rPr>
                <w:noProof/>
                <w:webHidden/>
              </w:rPr>
              <w:t>7</w:t>
            </w:r>
            <w:r>
              <w:rPr>
                <w:noProof/>
                <w:webHidden/>
              </w:rPr>
              <w:fldChar w:fldCharType="end"/>
            </w:r>
          </w:hyperlink>
        </w:p>
        <w:p w14:paraId="46408BFB" w14:textId="7FEABF91"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28" w:history="1">
            <w:r w:rsidRPr="00B12898">
              <w:rPr>
                <w:rStyle w:val="Hyperlink"/>
                <w:rFonts w:ascii="Arial" w:hAnsi="Arial" w:cs="Arial"/>
                <w:noProof/>
              </w:rPr>
              <w:t xml:space="preserve">5. Consenting regimes in England </w:t>
            </w:r>
            <w:r>
              <w:rPr>
                <w:noProof/>
                <w:webHidden/>
              </w:rPr>
              <w:tab/>
            </w:r>
            <w:r>
              <w:rPr>
                <w:noProof/>
                <w:webHidden/>
              </w:rPr>
              <w:fldChar w:fldCharType="begin"/>
            </w:r>
            <w:r>
              <w:rPr>
                <w:noProof/>
                <w:webHidden/>
              </w:rPr>
              <w:instrText xml:space="preserve"> PAGEREF _Toc198879228 \h </w:instrText>
            </w:r>
            <w:r>
              <w:rPr>
                <w:noProof/>
                <w:webHidden/>
              </w:rPr>
            </w:r>
            <w:r>
              <w:rPr>
                <w:noProof/>
                <w:webHidden/>
              </w:rPr>
              <w:fldChar w:fldCharType="separate"/>
            </w:r>
            <w:r>
              <w:rPr>
                <w:noProof/>
                <w:webHidden/>
              </w:rPr>
              <w:t>8</w:t>
            </w:r>
            <w:r>
              <w:rPr>
                <w:noProof/>
                <w:webHidden/>
              </w:rPr>
              <w:fldChar w:fldCharType="end"/>
            </w:r>
          </w:hyperlink>
        </w:p>
        <w:p w14:paraId="3546F80C" w14:textId="0FF5F17D"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29" w:history="1">
            <w:r w:rsidRPr="00B12898">
              <w:rPr>
                <w:rStyle w:val="Hyperlink"/>
                <w:rFonts w:ascii="Arial" w:hAnsi="Arial" w:cs="Arial"/>
                <w:noProof/>
              </w:rPr>
              <w:t>5.1 Nationally Significant Infrastructure Projects</w:t>
            </w:r>
            <w:r>
              <w:rPr>
                <w:noProof/>
                <w:webHidden/>
              </w:rPr>
              <w:tab/>
            </w:r>
            <w:r>
              <w:rPr>
                <w:noProof/>
                <w:webHidden/>
              </w:rPr>
              <w:fldChar w:fldCharType="begin"/>
            </w:r>
            <w:r>
              <w:rPr>
                <w:noProof/>
                <w:webHidden/>
              </w:rPr>
              <w:instrText xml:space="preserve"> PAGEREF _Toc198879229 \h </w:instrText>
            </w:r>
            <w:r>
              <w:rPr>
                <w:noProof/>
                <w:webHidden/>
              </w:rPr>
            </w:r>
            <w:r>
              <w:rPr>
                <w:noProof/>
                <w:webHidden/>
              </w:rPr>
              <w:fldChar w:fldCharType="separate"/>
            </w:r>
            <w:r>
              <w:rPr>
                <w:noProof/>
                <w:webHidden/>
              </w:rPr>
              <w:t>8</w:t>
            </w:r>
            <w:r>
              <w:rPr>
                <w:noProof/>
                <w:webHidden/>
              </w:rPr>
              <w:fldChar w:fldCharType="end"/>
            </w:r>
          </w:hyperlink>
        </w:p>
        <w:p w14:paraId="7EA6B25B" w14:textId="54D975E7"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30" w:history="1">
            <w:r w:rsidRPr="00B12898">
              <w:rPr>
                <w:rStyle w:val="Hyperlink"/>
                <w:rFonts w:ascii="Arial" w:hAnsi="Arial" w:cs="Arial"/>
                <w:noProof/>
              </w:rPr>
              <w:t>5.2 Town and Country Planning Act 1990</w:t>
            </w:r>
            <w:r>
              <w:rPr>
                <w:noProof/>
                <w:webHidden/>
              </w:rPr>
              <w:tab/>
            </w:r>
            <w:r>
              <w:rPr>
                <w:noProof/>
                <w:webHidden/>
              </w:rPr>
              <w:fldChar w:fldCharType="begin"/>
            </w:r>
            <w:r>
              <w:rPr>
                <w:noProof/>
                <w:webHidden/>
              </w:rPr>
              <w:instrText xml:space="preserve"> PAGEREF _Toc198879230 \h </w:instrText>
            </w:r>
            <w:r>
              <w:rPr>
                <w:noProof/>
                <w:webHidden/>
              </w:rPr>
            </w:r>
            <w:r>
              <w:rPr>
                <w:noProof/>
                <w:webHidden/>
              </w:rPr>
              <w:fldChar w:fldCharType="separate"/>
            </w:r>
            <w:r>
              <w:rPr>
                <w:noProof/>
                <w:webHidden/>
              </w:rPr>
              <w:t>9</w:t>
            </w:r>
            <w:r>
              <w:rPr>
                <w:noProof/>
                <w:webHidden/>
              </w:rPr>
              <w:fldChar w:fldCharType="end"/>
            </w:r>
          </w:hyperlink>
        </w:p>
        <w:p w14:paraId="5C1550A2" w14:textId="4467BA21"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31" w:history="1">
            <w:r w:rsidRPr="00B12898">
              <w:rPr>
                <w:rStyle w:val="Hyperlink"/>
                <w:rFonts w:ascii="Arial" w:hAnsi="Arial" w:cs="Arial"/>
                <w:noProof/>
              </w:rPr>
              <w:t>6. Consenting regimes in Scotland</w:t>
            </w:r>
            <w:r>
              <w:rPr>
                <w:noProof/>
                <w:webHidden/>
              </w:rPr>
              <w:tab/>
            </w:r>
            <w:r>
              <w:rPr>
                <w:noProof/>
                <w:webHidden/>
              </w:rPr>
              <w:fldChar w:fldCharType="begin"/>
            </w:r>
            <w:r>
              <w:rPr>
                <w:noProof/>
                <w:webHidden/>
              </w:rPr>
              <w:instrText xml:space="preserve"> PAGEREF _Toc198879231 \h </w:instrText>
            </w:r>
            <w:r>
              <w:rPr>
                <w:noProof/>
                <w:webHidden/>
              </w:rPr>
            </w:r>
            <w:r>
              <w:rPr>
                <w:noProof/>
                <w:webHidden/>
              </w:rPr>
              <w:fldChar w:fldCharType="separate"/>
            </w:r>
            <w:r>
              <w:rPr>
                <w:noProof/>
                <w:webHidden/>
              </w:rPr>
              <w:t>9</w:t>
            </w:r>
            <w:r>
              <w:rPr>
                <w:noProof/>
                <w:webHidden/>
              </w:rPr>
              <w:fldChar w:fldCharType="end"/>
            </w:r>
          </w:hyperlink>
        </w:p>
        <w:p w14:paraId="38C32F31" w14:textId="73BCFFDA"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32" w:history="1">
            <w:r w:rsidRPr="00B12898">
              <w:rPr>
                <w:rStyle w:val="Hyperlink"/>
                <w:rFonts w:ascii="Arial" w:hAnsi="Arial" w:cs="Arial"/>
                <w:noProof/>
              </w:rPr>
              <w:t>7. Consenting regimes in Wales</w:t>
            </w:r>
            <w:r>
              <w:rPr>
                <w:noProof/>
                <w:webHidden/>
              </w:rPr>
              <w:tab/>
            </w:r>
            <w:r>
              <w:rPr>
                <w:noProof/>
                <w:webHidden/>
              </w:rPr>
              <w:fldChar w:fldCharType="begin"/>
            </w:r>
            <w:r>
              <w:rPr>
                <w:noProof/>
                <w:webHidden/>
              </w:rPr>
              <w:instrText xml:space="preserve"> PAGEREF _Toc198879232 \h </w:instrText>
            </w:r>
            <w:r>
              <w:rPr>
                <w:noProof/>
                <w:webHidden/>
              </w:rPr>
            </w:r>
            <w:r>
              <w:rPr>
                <w:noProof/>
                <w:webHidden/>
              </w:rPr>
              <w:fldChar w:fldCharType="separate"/>
            </w:r>
            <w:r>
              <w:rPr>
                <w:noProof/>
                <w:webHidden/>
              </w:rPr>
              <w:t>10</w:t>
            </w:r>
            <w:r>
              <w:rPr>
                <w:noProof/>
                <w:webHidden/>
              </w:rPr>
              <w:fldChar w:fldCharType="end"/>
            </w:r>
          </w:hyperlink>
        </w:p>
        <w:p w14:paraId="32F64A8F" w14:textId="4B2B254C"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33" w:history="1">
            <w:r w:rsidRPr="00B12898">
              <w:rPr>
                <w:rStyle w:val="Hyperlink"/>
                <w:rFonts w:ascii="Arial" w:hAnsi="Arial" w:cs="Arial"/>
                <w:noProof/>
              </w:rPr>
              <w:t>8. Consenting regimes in Northern Ireland</w:t>
            </w:r>
            <w:r>
              <w:rPr>
                <w:noProof/>
                <w:webHidden/>
              </w:rPr>
              <w:tab/>
            </w:r>
            <w:r>
              <w:rPr>
                <w:noProof/>
                <w:webHidden/>
              </w:rPr>
              <w:fldChar w:fldCharType="begin"/>
            </w:r>
            <w:r>
              <w:rPr>
                <w:noProof/>
                <w:webHidden/>
              </w:rPr>
              <w:instrText xml:space="preserve"> PAGEREF _Toc198879233 \h </w:instrText>
            </w:r>
            <w:r>
              <w:rPr>
                <w:noProof/>
                <w:webHidden/>
              </w:rPr>
            </w:r>
            <w:r>
              <w:rPr>
                <w:noProof/>
                <w:webHidden/>
              </w:rPr>
              <w:fldChar w:fldCharType="separate"/>
            </w:r>
            <w:r>
              <w:rPr>
                <w:noProof/>
                <w:webHidden/>
              </w:rPr>
              <w:t>11</w:t>
            </w:r>
            <w:r>
              <w:rPr>
                <w:noProof/>
                <w:webHidden/>
              </w:rPr>
              <w:fldChar w:fldCharType="end"/>
            </w:r>
          </w:hyperlink>
        </w:p>
        <w:p w14:paraId="2D972F09" w14:textId="05BADE34"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34" w:history="1">
            <w:r w:rsidRPr="00B12898">
              <w:rPr>
                <w:rStyle w:val="Hyperlink"/>
                <w:rFonts w:ascii="Arial" w:hAnsi="Arial" w:cs="Arial"/>
                <w:noProof/>
              </w:rPr>
              <w:t>9. The key energy-related spatial and town and country plans across the UK</w:t>
            </w:r>
            <w:r>
              <w:rPr>
                <w:noProof/>
                <w:webHidden/>
              </w:rPr>
              <w:tab/>
            </w:r>
            <w:r>
              <w:rPr>
                <w:noProof/>
                <w:webHidden/>
              </w:rPr>
              <w:fldChar w:fldCharType="begin"/>
            </w:r>
            <w:r>
              <w:rPr>
                <w:noProof/>
                <w:webHidden/>
              </w:rPr>
              <w:instrText xml:space="preserve"> PAGEREF _Toc198879234 \h </w:instrText>
            </w:r>
            <w:r>
              <w:rPr>
                <w:noProof/>
                <w:webHidden/>
              </w:rPr>
            </w:r>
            <w:r>
              <w:rPr>
                <w:noProof/>
                <w:webHidden/>
              </w:rPr>
              <w:fldChar w:fldCharType="separate"/>
            </w:r>
            <w:r>
              <w:rPr>
                <w:noProof/>
                <w:webHidden/>
              </w:rPr>
              <w:t>12</w:t>
            </w:r>
            <w:r>
              <w:rPr>
                <w:noProof/>
                <w:webHidden/>
              </w:rPr>
              <w:fldChar w:fldCharType="end"/>
            </w:r>
          </w:hyperlink>
        </w:p>
        <w:p w14:paraId="1BF43301" w14:textId="6C8E9DDC"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35" w:history="1">
            <w:r w:rsidRPr="00B12898">
              <w:rPr>
                <w:rStyle w:val="Hyperlink"/>
                <w:rFonts w:ascii="Arial" w:hAnsi="Arial" w:cs="Arial"/>
                <w:noProof/>
              </w:rPr>
              <w:t>9.1 Introduction</w:t>
            </w:r>
            <w:r>
              <w:rPr>
                <w:noProof/>
                <w:webHidden/>
              </w:rPr>
              <w:tab/>
            </w:r>
            <w:r>
              <w:rPr>
                <w:noProof/>
                <w:webHidden/>
              </w:rPr>
              <w:fldChar w:fldCharType="begin"/>
            </w:r>
            <w:r>
              <w:rPr>
                <w:noProof/>
                <w:webHidden/>
              </w:rPr>
              <w:instrText xml:space="preserve"> PAGEREF _Toc198879235 \h </w:instrText>
            </w:r>
            <w:r>
              <w:rPr>
                <w:noProof/>
                <w:webHidden/>
              </w:rPr>
            </w:r>
            <w:r>
              <w:rPr>
                <w:noProof/>
                <w:webHidden/>
              </w:rPr>
              <w:fldChar w:fldCharType="separate"/>
            </w:r>
            <w:r>
              <w:rPr>
                <w:noProof/>
                <w:webHidden/>
              </w:rPr>
              <w:t>12</w:t>
            </w:r>
            <w:r>
              <w:rPr>
                <w:noProof/>
                <w:webHidden/>
              </w:rPr>
              <w:fldChar w:fldCharType="end"/>
            </w:r>
          </w:hyperlink>
        </w:p>
        <w:p w14:paraId="025572D3" w14:textId="18FAFB51"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36" w:history="1">
            <w:r w:rsidRPr="00B12898">
              <w:rPr>
                <w:rStyle w:val="Hyperlink"/>
                <w:rFonts w:ascii="Arial" w:hAnsi="Arial" w:cs="Arial"/>
                <w:noProof/>
              </w:rPr>
              <w:t>9.2 The rest of this resource</w:t>
            </w:r>
            <w:r>
              <w:rPr>
                <w:noProof/>
                <w:webHidden/>
              </w:rPr>
              <w:tab/>
            </w:r>
            <w:r>
              <w:rPr>
                <w:noProof/>
                <w:webHidden/>
              </w:rPr>
              <w:fldChar w:fldCharType="begin"/>
            </w:r>
            <w:r>
              <w:rPr>
                <w:noProof/>
                <w:webHidden/>
              </w:rPr>
              <w:instrText xml:space="preserve"> PAGEREF _Toc198879236 \h </w:instrText>
            </w:r>
            <w:r>
              <w:rPr>
                <w:noProof/>
                <w:webHidden/>
              </w:rPr>
            </w:r>
            <w:r>
              <w:rPr>
                <w:noProof/>
                <w:webHidden/>
              </w:rPr>
              <w:fldChar w:fldCharType="separate"/>
            </w:r>
            <w:r>
              <w:rPr>
                <w:noProof/>
                <w:webHidden/>
              </w:rPr>
              <w:t>13</w:t>
            </w:r>
            <w:r>
              <w:rPr>
                <w:noProof/>
                <w:webHidden/>
              </w:rPr>
              <w:fldChar w:fldCharType="end"/>
            </w:r>
          </w:hyperlink>
        </w:p>
        <w:p w14:paraId="2322CABE" w14:textId="03552EC6"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37" w:history="1">
            <w:r w:rsidRPr="00B12898">
              <w:rPr>
                <w:rStyle w:val="Hyperlink"/>
                <w:rFonts w:ascii="Arial" w:hAnsi="Arial" w:cs="Arial"/>
                <w:noProof/>
              </w:rPr>
              <w:t>9.3 Great Britain</w:t>
            </w:r>
            <w:r>
              <w:rPr>
                <w:noProof/>
                <w:webHidden/>
              </w:rPr>
              <w:tab/>
            </w:r>
            <w:r>
              <w:rPr>
                <w:noProof/>
                <w:webHidden/>
              </w:rPr>
              <w:fldChar w:fldCharType="begin"/>
            </w:r>
            <w:r>
              <w:rPr>
                <w:noProof/>
                <w:webHidden/>
              </w:rPr>
              <w:instrText xml:space="preserve"> PAGEREF _Toc198879237 \h </w:instrText>
            </w:r>
            <w:r>
              <w:rPr>
                <w:noProof/>
                <w:webHidden/>
              </w:rPr>
            </w:r>
            <w:r>
              <w:rPr>
                <w:noProof/>
                <w:webHidden/>
              </w:rPr>
              <w:fldChar w:fldCharType="separate"/>
            </w:r>
            <w:r>
              <w:rPr>
                <w:noProof/>
                <w:webHidden/>
              </w:rPr>
              <w:t>14</w:t>
            </w:r>
            <w:r>
              <w:rPr>
                <w:noProof/>
                <w:webHidden/>
              </w:rPr>
              <w:fldChar w:fldCharType="end"/>
            </w:r>
          </w:hyperlink>
        </w:p>
        <w:p w14:paraId="08C89673" w14:textId="633F5302"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38" w:history="1">
            <w:r w:rsidRPr="00B12898">
              <w:rPr>
                <w:rStyle w:val="Hyperlink"/>
                <w:rFonts w:ascii="Arial" w:hAnsi="Arial" w:cs="Arial"/>
                <w:noProof/>
              </w:rPr>
              <w:t>9.4 England</w:t>
            </w:r>
            <w:r>
              <w:rPr>
                <w:noProof/>
                <w:webHidden/>
              </w:rPr>
              <w:tab/>
            </w:r>
            <w:r>
              <w:rPr>
                <w:noProof/>
                <w:webHidden/>
              </w:rPr>
              <w:fldChar w:fldCharType="begin"/>
            </w:r>
            <w:r>
              <w:rPr>
                <w:noProof/>
                <w:webHidden/>
              </w:rPr>
              <w:instrText xml:space="preserve"> PAGEREF _Toc198879238 \h </w:instrText>
            </w:r>
            <w:r>
              <w:rPr>
                <w:noProof/>
                <w:webHidden/>
              </w:rPr>
            </w:r>
            <w:r>
              <w:rPr>
                <w:noProof/>
                <w:webHidden/>
              </w:rPr>
              <w:fldChar w:fldCharType="separate"/>
            </w:r>
            <w:r>
              <w:rPr>
                <w:noProof/>
                <w:webHidden/>
              </w:rPr>
              <w:t>14</w:t>
            </w:r>
            <w:r>
              <w:rPr>
                <w:noProof/>
                <w:webHidden/>
              </w:rPr>
              <w:fldChar w:fldCharType="end"/>
            </w:r>
          </w:hyperlink>
        </w:p>
        <w:p w14:paraId="12405F78" w14:textId="7A0A2958"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39" w:history="1">
            <w:r w:rsidRPr="00B12898">
              <w:rPr>
                <w:rStyle w:val="Hyperlink"/>
                <w:rFonts w:ascii="Arial" w:hAnsi="Arial" w:cs="Arial"/>
                <w:noProof/>
              </w:rPr>
              <w:t>9.5 Scotland</w:t>
            </w:r>
            <w:r>
              <w:rPr>
                <w:noProof/>
                <w:webHidden/>
              </w:rPr>
              <w:tab/>
            </w:r>
            <w:r>
              <w:rPr>
                <w:noProof/>
                <w:webHidden/>
              </w:rPr>
              <w:fldChar w:fldCharType="begin"/>
            </w:r>
            <w:r>
              <w:rPr>
                <w:noProof/>
                <w:webHidden/>
              </w:rPr>
              <w:instrText xml:space="preserve"> PAGEREF _Toc198879239 \h </w:instrText>
            </w:r>
            <w:r>
              <w:rPr>
                <w:noProof/>
                <w:webHidden/>
              </w:rPr>
            </w:r>
            <w:r>
              <w:rPr>
                <w:noProof/>
                <w:webHidden/>
              </w:rPr>
              <w:fldChar w:fldCharType="separate"/>
            </w:r>
            <w:r>
              <w:rPr>
                <w:noProof/>
                <w:webHidden/>
              </w:rPr>
              <w:t>16</w:t>
            </w:r>
            <w:r>
              <w:rPr>
                <w:noProof/>
                <w:webHidden/>
              </w:rPr>
              <w:fldChar w:fldCharType="end"/>
            </w:r>
          </w:hyperlink>
        </w:p>
        <w:p w14:paraId="4A9B4015" w14:textId="3B8C4272"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0" w:history="1">
            <w:r w:rsidRPr="00B12898">
              <w:rPr>
                <w:rStyle w:val="Hyperlink"/>
                <w:rFonts w:ascii="Arial" w:hAnsi="Arial" w:cs="Arial"/>
                <w:noProof/>
              </w:rPr>
              <w:t>9.6 Wales</w:t>
            </w:r>
            <w:r>
              <w:rPr>
                <w:noProof/>
                <w:webHidden/>
              </w:rPr>
              <w:tab/>
            </w:r>
            <w:r>
              <w:rPr>
                <w:noProof/>
                <w:webHidden/>
              </w:rPr>
              <w:fldChar w:fldCharType="begin"/>
            </w:r>
            <w:r>
              <w:rPr>
                <w:noProof/>
                <w:webHidden/>
              </w:rPr>
              <w:instrText xml:space="preserve"> PAGEREF _Toc198879240 \h </w:instrText>
            </w:r>
            <w:r>
              <w:rPr>
                <w:noProof/>
                <w:webHidden/>
              </w:rPr>
            </w:r>
            <w:r>
              <w:rPr>
                <w:noProof/>
                <w:webHidden/>
              </w:rPr>
              <w:fldChar w:fldCharType="separate"/>
            </w:r>
            <w:r>
              <w:rPr>
                <w:noProof/>
                <w:webHidden/>
              </w:rPr>
              <w:t>17</w:t>
            </w:r>
            <w:r>
              <w:rPr>
                <w:noProof/>
                <w:webHidden/>
              </w:rPr>
              <w:fldChar w:fldCharType="end"/>
            </w:r>
          </w:hyperlink>
        </w:p>
        <w:p w14:paraId="40F63607" w14:textId="66BE211C"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1" w:history="1">
            <w:r w:rsidRPr="00B12898">
              <w:rPr>
                <w:rStyle w:val="Hyperlink"/>
                <w:rFonts w:ascii="Arial" w:hAnsi="Arial" w:cs="Arial"/>
                <w:noProof/>
              </w:rPr>
              <w:t>9.7 Northern Ireland</w:t>
            </w:r>
            <w:r>
              <w:rPr>
                <w:noProof/>
                <w:webHidden/>
              </w:rPr>
              <w:tab/>
            </w:r>
            <w:r>
              <w:rPr>
                <w:noProof/>
                <w:webHidden/>
              </w:rPr>
              <w:fldChar w:fldCharType="begin"/>
            </w:r>
            <w:r>
              <w:rPr>
                <w:noProof/>
                <w:webHidden/>
              </w:rPr>
              <w:instrText xml:space="preserve"> PAGEREF _Toc198879241 \h </w:instrText>
            </w:r>
            <w:r>
              <w:rPr>
                <w:noProof/>
                <w:webHidden/>
              </w:rPr>
            </w:r>
            <w:r>
              <w:rPr>
                <w:noProof/>
                <w:webHidden/>
              </w:rPr>
              <w:fldChar w:fldCharType="separate"/>
            </w:r>
            <w:r>
              <w:rPr>
                <w:noProof/>
                <w:webHidden/>
              </w:rPr>
              <w:t>18</w:t>
            </w:r>
            <w:r>
              <w:rPr>
                <w:noProof/>
                <w:webHidden/>
              </w:rPr>
              <w:fldChar w:fldCharType="end"/>
            </w:r>
          </w:hyperlink>
        </w:p>
        <w:p w14:paraId="40838090" w14:textId="636E95FD"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42" w:history="1">
            <w:r w:rsidRPr="00B12898">
              <w:rPr>
                <w:rStyle w:val="Hyperlink"/>
                <w:rFonts w:ascii="Arial" w:hAnsi="Arial" w:cs="Arial"/>
                <w:noProof/>
              </w:rPr>
              <w:t xml:space="preserve">10. Who’s who? Key government departments and public bodies relevant to energy policy </w:t>
            </w:r>
            <w:r>
              <w:rPr>
                <w:noProof/>
                <w:webHidden/>
              </w:rPr>
              <w:tab/>
            </w:r>
            <w:r>
              <w:rPr>
                <w:noProof/>
                <w:webHidden/>
              </w:rPr>
              <w:fldChar w:fldCharType="begin"/>
            </w:r>
            <w:r>
              <w:rPr>
                <w:noProof/>
                <w:webHidden/>
              </w:rPr>
              <w:instrText xml:space="preserve"> PAGEREF _Toc198879242 \h </w:instrText>
            </w:r>
            <w:r>
              <w:rPr>
                <w:noProof/>
                <w:webHidden/>
              </w:rPr>
            </w:r>
            <w:r>
              <w:rPr>
                <w:noProof/>
                <w:webHidden/>
              </w:rPr>
              <w:fldChar w:fldCharType="separate"/>
            </w:r>
            <w:r>
              <w:rPr>
                <w:noProof/>
                <w:webHidden/>
              </w:rPr>
              <w:t>19</w:t>
            </w:r>
            <w:r>
              <w:rPr>
                <w:noProof/>
                <w:webHidden/>
              </w:rPr>
              <w:fldChar w:fldCharType="end"/>
            </w:r>
          </w:hyperlink>
        </w:p>
        <w:p w14:paraId="0FE7DBDF" w14:textId="7FD0F456"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3" w:history="1">
            <w:r w:rsidRPr="00B12898">
              <w:rPr>
                <w:rStyle w:val="Hyperlink"/>
                <w:rFonts w:ascii="Arial" w:hAnsi="Arial" w:cs="Arial"/>
                <w:noProof/>
              </w:rPr>
              <w:t>10.1 Background</w:t>
            </w:r>
            <w:r>
              <w:rPr>
                <w:noProof/>
                <w:webHidden/>
              </w:rPr>
              <w:tab/>
            </w:r>
            <w:r>
              <w:rPr>
                <w:noProof/>
                <w:webHidden/>
              </w:rPr>
              <w:fldChar w:fldCharType="begin"/>
            </w:r>
            <w:r>
              <w:rPr>
                <w:noProof/>
                <w:webHidden/>
              </w:rPr>
              <w:instrText xml:space="preserve"> PAGEREF _Toc198879243 \h </w:instrText>
            </w:r>
            <w:r>
              <w:rPr>
                <w:noProof/>
                <w:webHidden/>
              </w:rPr>
            </w:r>
            <w:r>
              <w:rPr>
                <w:noProof/>
                <w:webHidden/>
              </w:rPr>
              <w:fldChar w:fldCharType="separate"/>
            </w:r>
            <w:r>
              <w:rPr>
                <w:noProof/>
                <w:webHidden/>
              </w:rPr>
              <w:t>19</w:t>
            </w:r>
            <w:r>
              <w:rPr>
                <w:noProof/>
                <w:webHidden/>
              </w:rPr>
              <w:fldChar w:fldCharType="end"/>
            </w:r>
          </w:hyperlink>
        </w:p>
        <w:p w14:paraId="4CEABF65" w14:textId="07B2B9BA"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4" w:history="1">
            <w:r w:rsidRPr="00B12898">
              <w:rPr>
                <w:rStyle w:val="Hyperlink"/>
                <w:rFonts w:ascii="Arial" w:hAnsi="Arial" w:cs="Arial"/>
                <w:noProof/>
              </w:rPr>
              <w:t>10.2 UK-wide</w:t>
            </w:r>
            <w:r>
              <w:rPr>
                <w:noProof/>
                <w:webHidden/>
              </w:rPr>
              <w:tab/>
            </w:r>
            <w:r>
              <w:rPr>
                <w:noProof/>
                <w:webHidden/>
              </w:rPr>
              <w:fldChar w:fldCharType="begin"/>
            </w:r>
            <w:r>
              <w:rPr>
                <w:noProof/>
                <w:webHidden/>
              </w:rPr>
              <w:instrText xml:space="preserve"> PAGEREF _Toc198879244 \h </w:instrText>
            </w:r>
            <w:r>
              <w:rPr>
                <w:noProof/>
                <w:webHidden/>
              </w:rPr>
            </w:r>
            <w:r>
              <w:rPr>
                <w:noProof/>
                <w:webHidden/>
              </w:rPr>
              <w:fldChar w:fldCharType="separate"/>
            </w:r>
            <w:r>
              <w:rPr>
                <w:noProof/>
                <w:webHidden/>
              </w:rPr>
              <w:t>19</w:t>
            </w:r>
            <w:r>
              <w:rPr>
                <w:noProof/>
                <w:webHidden/>
              </w:rPr>
              <w:fldChar w:fldCharType="end"/>
            </w:r>
          </w:hyperlink>
        </w:p>
        <w:p w14:paraId="64BD672C" w14:textId="02B791C2"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5" w:history="1">
            <w:r w:rsidRPr="00B12898">
              <w:rPr>
                <w:rStyle w:val="Hyperlink"/>
                <w:rFonts w:ascii="Arial" w:hAnsi="Arial" w:cs="Arial"/>
                <w:noProof/>
              </w:rPr>
              <w:t>10.3 Great Britain</w:t>
            </w:r>
            <w:r>
              <w:rPr>
                <w:noProof/>
                <w:webHidden/>
              </w:rPr>
              <w:tab/>
            </w:r>
            <w:r>
              <w:rPr>
                <w:noProof/>
                <w:webHidden/>
              </w:rPr>
              <w:fldChar w:fldCharType="begin"/>
            </w:r>
            <w:r>
              <w:rPr>
                <w:noProof/>
                <w:webHidden/>
              </w:rPr>
              <w:instrText xml:space="preserve"> PAGEREF _Toc198879245 \h </w:instrText>
            </w:r>
            <w:r>
              <w:rPr>
                <w:noProof/>
                <w:webHidden/>
              </w:rPr>
            </w:r>
            <w:r>
              <w:rPr>
                <w:noProof/>
                <w:webHidden/>
              </w:rPr>
              <w:fldChar w:fldCharType="separate"/>
            </w:r>
            <w:r>
              <w:rPr>
                <w:noProof/>
                <w:webHidden/>
              </w:rPr>
              <w:t>19</w:t>
            </w:r>
            <w:r>
              <w:rPr>
                <w:noProof/>
                <w:webHidden/>
              </w:rPr>
              <w:fldChar w:fldCharType="end"/>
            </w:r>
          </w:hyperlink>
        </w:p>
        <w:p w14:paraId="512BE8E3" w14:textId="51F34BE8"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6" w:history="1">
            <w:r w:rsidRPr="00B12898">
              <w:rPr>
                <w:rStyle w:val="Hyperlink"/>
                <w:rFonts w:ascii="Arial" w:hAnsi="Arial" w:cs="Arial"/>
                <w:noProof/>
              </w:rPr>
              <w:t>10.4 Scotland -national level</w:t>
            </w:r>
            <w:r>
              <w:rPr>
                <w:noProof/>
                <w:webHidden/>
              </w:rPr>
              <w:tab/>
            </w:r>
            <w:r>
              <w:rPr>
                <w:noProof/>
                <w:webHidden/>
              </w:rPr>
              <w:fldChar w:fldCharType="begin"/>
            </w:r>
            <w:r>
              <w:rPr>
                <w:noProof/>
                <w:webHidden/>
              </w:rPr>
              <w:instrText xml:space="preserve"> PAGEREF _Toc198879246 \h </w:instrText>
            </w:r>
            <w:r>
              <w:rPr>
                <w:noProof/>
                <w:webHidden/>
              </w:rPr>
            </w:r>
            <w:r>
              <w:rPr>
                <w:noProof/>
                <w:webHidden/>
              </w:rPr>
              <w:fldChar w:fldCharType="separate"/>
            </w:r>
            <w:r>
              <w:rPr>
                <w:noProof/>
                <w:webHidden/>
              </w:rPr>
              <w:t>20</w:t>
            </w:r>
            <w:r>
              <w:rPr>
                <w:noProof/>
                <w:webHidden/>
              </w:rPr>
              <w:fldChar w:fldCharType="end"/>
            </w:r>
          </w:hyperlink>
        </w:p>
        <w:p w14:paraId="1C922781" w14:textId="1591EAD1"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7" w:history="1">
            <w:r w:rsidRPr="00B12898">
              <w:rPr>
                <w:rStyle w:val="Hyperlink"/>
                <w:rFonts w:ascii="Arial" w:hAnsi="Arial" w:cs="Arial"/>
                <w:noProof/>
              </w:rPr>
              <w:t>10.5 Wales – national level</w:t>
            </w:r>
            <w:r>
              <w:rPr>
                <w:noProof/>
                <w:webHidden/>
              </w:rPr>
              <w:tab/>
            </w:r>
            <w:r>
              <w:rPr>
                <w:noProof/>
                <w:webHidden/>
              </w:rPr>
              <w:fldChar w:fldCharType="begin"/>
            </w:r>
            <w:r>
              <w:rPr>
                <w:noProof/>
                <w:webHidden/>
              </w:rPr>
              <w:instrText xml:space="preserve"> PAGEREF _Toc198879247 \h </w:instrText>
            </w:r>
            <w:r>
              <w:rPr>
                <w:noProof/>
                <w:webHidden/>
              </w:rPr>
            </w:r>
            <w:r>
              <w:rPr>
                <w:noProof/>
                <w:webHidden/>
              </w:rPr>
              <w:fldChar w:fldCharType="separate"/>
            </w:r>
            <w:r>
              <w:rPr>
                <w:noProof/>
                <w:webHidden/>
              </w:rPr>
              <w:t>20</w:t>
            </w:r>
            <w:r>
              <w:rPr>
                <w:noProof/>
                <w:webHidden/>
              </w:rPr>
              <w:fldChar w:fldCharType="end"/>
            </w:r>
          </w:hyperlink>
        </w:p>
        <w:p w14:paraId="2E024DF1" w14:textId="33B3D2C1"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48" w:history="1">
            <w:r w:rsidRPr="00B12898">
              <w:rPr>
                <w:rStyle w:val="Hyperlink"/>
                <w:rFonts w:ascii="Arial" w:hAnsi="Arial" w:cs="Arial"/>
                <w:noProof/>
              </w:rPr>
              <w:t>10.6 Northern Ireland – regional level</w:t>
            </w:r>
            <w:r>
              <w:rPr>
                <w:noProof/>
                <w:webHidden/>
              </w:rPr>
              <w:tab/>
            </w:r>
            <w:r>
              <w:rPr>
                <w:noProof/>
                <w:webHidden/>
              </w:rPr>
              <w:fldChar w:fldCharType="begin"/>
            </w:r>
            <w:r>
              <w:rPr>
                <w:noProof/>
                <w:webHidden/>
              </w:rPr>
              <w:instrText xml:space="preserve"> PAGEREF _Toc198879248 \h </w:instrText>
            </w:r>
            <w:r>
              <w:rPr>
                <w:noProof/>
                <w:webHidden/>
              </w:rPr>
            </w:r>
            <w:r>
              <w:rPr>
                <w:noProof/>
                <w:webHidden/>
              </w:rPr>
              <w:fldChar w:fldCharType="separate"/>
            </w:r>
            <w:r>
              <w:rPr>
                <w:noProof/>
                <w:webHidden/>
              </w:rPr>
              <w:t>20</w:t>
            </w:r>
            <w:r>
              <w:rPr>
                <w:noProof/>
                <w:webHidden/>
              </w:rPr>
              <w:fldChar w:fldCharType="end"/>
            </w:r>
          </w:hyperlink>
        </w:p>
        <w:p w14:paraId="2974D45E" w14:textId="3428A166"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49" w:history="1">
            <w:r w:rsidRPr="00B12898">
              <w:rPr>
                <w:rStyle w:val="Hyperlink"/>
                <w:rFonts w:ascii="Arial" w:hAnsi="Arial" w:cs="Arial"/>
                <w:noProof/>
              </w:rPr>
              <w:t>11. Who’s who? The key departments public bodies relevant to the planning of energy infrastructure at the national and regional levels</w:t>
            </w:r>
            <w:r>
              <w:rPr>
                <w:noProof/>
                <w:webHidden/>
              </w:rPr>
              <w:tab/>
            </w:r>
            <w:r>
              <w:rPr>
                <w:noProof/>
                <w:webHidden/>
              </w:rPr>
              <w:fldChar w:fldCharType="begin"/>
            </w:r>
            <w:r>
              <w:rPr>
                <w:noProof/>
                <w:webHidden/>
              </w:rPr>
              <w:instrText xml:space="preserve"> PAGEREF _Toc198879249 \h </w:instrText>
            </w:r>
            <w:r>
              <w:rPr>
                <w:noProof/>
                <w:webHidden/>
              </w:rPr>
            </w:r>
            <w:r>
              <w:rPr>
                <w:noProof/>
                <w:webHidden/>
              </w:rPr>
              <w:fldChar w:fldCharType="separate"/>
            </w:r>
            <w:r>
              <w:rPr>
                <w:noProof/>
                <w:webHidden/>
              </w:rPr>
              <w:t>21</w:t>
            </w:r>
            <w:r>
              <w:rPr>
                <w:noProof/>
                <w:webHidden/>
              </w:rPr>
              <w:fldChar w:fldCharType="end"/>
            </w:r>
          </w:hyperlink>
        </w:p>
        <w:p w14:paraId="0203EE5F" w14:textId="01F3AD64"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0" w:history="1">
            <w:r w:rsidRPr="00B12898">
              <w:rPr>
                <w:rStyle w:val="Hyperlink"/>
                <w:rFonts w:ascii="Arial" w:hAnsi="Arial" w:cs="Arial"/>
                <w:noProof/>
              </w:rPr>
              <w:t>11.1 Background</w:t>
            </w:r>
            <w:r>
              <w:rPr>
                <w:noProof/>
                <w:webHidden/>
              </w:rPr>
              <w:tab/>
            </w:r>
            <w:r>
              <w:rPr>
                <w:noProof/>
                <w:webHidden/>
              </w:rPr>
              <w:fldChar w:fldCharType="begin"/>
            </w:r>
            <w:r>
              <w:rPr>
                <w:noProof/>
                <w:webHidden/>
              </w:rPr>
              <w:instrText xml:space="preserve"> PAGEREF _Toc198879250 \h </w:instrText>
            </w:r>
            <w:r>
              <w:rPr>
                <w:noProof/>
                <w:webHidden/>
              </w:rPr>
            </w:r>
            <w:r>
              <w:rPr>
                <w:noProof/>
                <w:webHidden/>
              </w:rPr>
              <w:fldChar w:fldCharType="separate"/>
            </w:r>
            <w:r>
              <w:rPr>
                <w:noProof/>
                <w:webHidden/>
              </w:rPr>
              <w:t>21</w:t>
            </w:r>
            <w:r>
              <w:rPr>
                <w:noProof/>
                <w:webHidden/>
              </w:rPr>
              <w:fldChar w:fldCharType="end"/>
            </w:r>
          </w:hyperlink>
        </w:p>
        <w:p w14:paraId="6BDC6C47" w14:textId="522F2E28"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1" w:history="1">
            <w:r w:rsidRPr="00B12898">
              <w:rPr>
                <w:rStyle w:val="Hyperlink"/>
                <w:rFonts w:ascii="Arial" w:hAnsi="Arial" w:cs="Arial"/>
                <w:noProof/>
              </w:rPr>
              <w:t>11.2 UK-wide</w:t>
            </w:r>
            <w:r>
              <w:rPr>
                <w:noProof/>
                <w:webHidden/>
              </w:rPr>
              <w:tab/>
            </w:r>
            <w:r>
              <w:rPr>
                <w:noProof/>
                <w:webHidden/>
              </w:rPr>
              <w:fldChar w:fldCharType="begin"/>
            </w:r>
            <w:r>
              <w:rPr>
                <w:noProof/>
                <w:webHidden/>
              </w:rPr>
              <w:instrText xml:space="preserve"> PAGEREF _Toc198879251 \h </w:instrText>
            </w:r>
            <w:r>
              <w:rPr>
                <w:noProof/>
                <w:webHidden/>
              </w:rPr>
            </w:r>
            <w:r>
              <w:rPr>
                <w:noProof/>
                <w:webHidden/>
              </w:rPr>
              <w:fldChar w:fldCharType="separate"/>
            </w:r>
            <w:r>
              <w:rPr>
                <w:noProof/>
                <w:webHidden/>
              </w:rPr>
              <w:t>21</w:t>
            </w:r>
            <w:r>
              <w:rPr>
                <w:noProof/>
                <w:webHidden/>
              </w:rPr>
              <w:fldChar w:fldCharType="end"/>
            </w:r>
          </w:hyperlink>
        </w:p>
        <w:p w14:paraId="0232E1BA" w14:textId="49BADB75"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2" w:history="1">
            <w:r w:rsidRPr="00B12898">
              <w:rPr>
                <w:rStyle w:val="Hyperlink"/>
                <w:rFonts w:ascii="Arial" w:hAnsi="Arial" w:cs="Arial"/>
                <w:noProof/>
              </w:rPr>
              <w:t>11.3 Great Britain</w:t>
            </w:r>
            <w:r>
              <w:rPr>
                <w:noProof/>
                <w:webHidden/>
              </w:rPr>
              <w:tab/>
            </w:r>
            <w:r>
              <w:rPr>
                <w:noProof/>
                <w:webHidden/>
              </w:rPr>
              <w:fldChar w:fldCharType="begin"/>
            </w:r>
            <w:r>
              <w:rPr>
                <w:noProof/>
                <w:webHidden/>
              </w:rPr>
              <w:instrText xml:space="preserve"> PAGEREF _Toc198879252 \h </w:instrText>
            </w:r>
            <w:r>
              <w:rPr>
                <w:noProof/>
                <w:webHidden/>
              </w:rPr>
            </w:r>
            <w:r>
              <w:rPr>
                <w:noProof/>
                <w:webHidden/>
              </w:rPr>
              <w:fldChar w:fldCharType="separate"/>
            </w:r>
            <w:r>
              <w:rPr>
                <w:noProof/>
                <w:webHidden/>
              </w:rPr>
              <w:t>22</w:t>
            </w:r>
            <w:r>
              <w:rPr>
                <w:noProof/>
                <w:webHidden/>
              </w:rPr>
              <w:fldChar w:fldCharType="end"/>
            </w:r>
          </w:hyperlink>
        </w:p>
        <w:p w14:paraId="750A3F69" w14:textId="7F94145D"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3" w:history="1">
            <w:r w:rsidRPr="00B12898">
              <w:rPr>
                <w:rStyle w:val="Hyperlink"/>
                <w:rFonts w:ascii="Arial" w:hAnsi="Arial" w:cs="Arial"/>
                <w:noProof/>
              </w:rPr>
              <w:t>11.4 England – national level</w:t>
            </w:r>
            <w:r>
              <w:rPr>
                <w:noProof/>
                <w:webHidden/>
              </w:rPr>
              <w:tab/>
            </w:r>
            <w:r>
              <w:rPr>
                <w:noProof/>
                <w:webHidden/>
              </w:rPr>
              <w:fldChar w:fldCharType="begin"/>
            </w:r>
            <w:r>
              <w:rPr>
                <w:noProof/>
                <w:webHidden/>
              </w:rPr>
              <w:instrText xml:space="preserve"> PAGEREF _Toc198879253 \h </w:instrText>
            </w:r>
            <w:r>
              <w:rPr>
                <w:noProof/>
                <w:webHidden/>
              </w:rPr>
            </w:r>
            <w:r>
              <w:rPr>
                <w:noProof/>
                <w:webHidden/>
              </w:rPr>
              <w:fldChar w:fldCharType="separate"/>
            </w:r>
            <w:r>
              <w:rPr>
                <w:noProof/>
                <w:webHidden/>
              </w:rPr>
              <w:t>22</w:t>
            </w:r>
            <w:r>
              <w:rPr>
                <w:noProof/>
                <w:webHidden/>
              </w:rPr>
              <w:fldChar w:fldCharType="end"/>
            </w:r>
          </w:hyperlink>
        </w:p>
        <w:p w14:paraId="252F8ABF" w14:textId="6698B15E"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4" w:history="1">
            <w:r w:rsidRPr="00B12898">
              <w:rPr>
                <w:rStyle w:val="Hyperlink"/>
                <w:rFonts w:ascii="Arial" w:hAnsi="Arial" w:cs="Arial"/>
                <w:noProof/>
              </w:rPr>
              <w:t>11.5 Scotland - national level</w:t>
            </w:r>
            <w:r>
              <w:rPr>
                <w:noProof/>
                <w:webHidden/>
              </w:rPr>
              <w:tab/>
            </w:r>
            <w:r>
              <w:rPr>
                <w:noProof/>
                <w:webHidden/>
              </w:rPr>
              <w:fldChar w:fldCharType="begin"/>
            </w:r>
            <w:r>
              <w:rPr>
                <w:noProof/>
                <w:webHidden/>
              </w:rPr>
              <w:instrText xml:space="preserve"> PAGEREF _Toc198879254 \h </w:instrText>
            </w:r>
            <w:r>
              <w:rPr>
                <w:noProof/>
                <w:webHidden/>
              </w:rPr>
            </w:r>
            <w:r>
              <w:rPr>
                <w:noProof/>
                <w:webHidden/>
              </w:rPr>
              <w:fldChar w:fldCharType="separate"/>
            </w:r>
            <w:r>
              <w:rPr>
                <w:noProof/>
                <w:webHidden/>
              </w:rPr>
              <w:t>22</w:t>
            </w:r>
            <w:r>
              <w:rPr>
                <w:noProof/>
                <w:webHidden/>
              </w:rPr>
              <w:fldChar w:fldCharType="end"/>
            </w:r>
          </w:hyperlink>
        </w:p>
        <w:p w14:paraId="2BEA85A6" w14:textId="0690ECDB"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5" w:history="1">
            <w:r w:rsidRPr="00B12898">
              <w:rPr>
                <w:rStyle w:val="Hyperlink"/>
                <w:rFonts w:ascii="Arial" w:hAnsi="Arial" w:cs="Arial"/>
                <w:noProof/>
              </w:rPr>
              <w:t>11.6 Wales – national level</w:t>
            </w:r>
            <w:r>
              <w:rPr>
                <w:noProof/>
                <w:webHidden/>
              </w:rPr>
              <w:tab/>
            </w:r>
            <w:r>
              <w:rPr>
                <w:noProof/>
                <w:webHidden/>
              </w:rPr>
              <w:fldChar w:fldCharType="begin"/>
            </w:r>
            <w:r>
              <w:rPr>
                <w:noProof/>
                <w:webHidden/>
              </w:rPr>
              <w:instrText xml:space="preserve"> PAGEREF _Toc198879255 \h </w:instrText>
            </w:r>
            <w:r>
              <w:rPr>
                <w:noProof/>
                <w:webHidden/>
              </w:rPr>
            </w:r>
            <w:r>
              <w:rPr>
                <w:noProof/>
                <w:webHidden/>
              </w:rPr>
              <w:fldChar w:fldCharType="separate"/>
            </w:r>
            <w:r>
              <w:rPr>
                <w:noProof/>
                <w:webHidden/>
              </w:rPr>
              <w:t>23</w:t>
            </w:r>
            <w:r>
              <w:rPr>
                <w:noProof/>
                <w:webHidden/>
              </w:rPr>
              <w:fldChar w:fldCharType="end"/>
            </w:r>
          </w:hyperlink>
        </w:p>
        <w:p w14:paraId="5F15F6FD" w14:textId="7C27E288"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6" w:history="1">
            <w:r w:rsidRPr="00B12898">
              <w:rPr>
                <w:rStyle w:val="Hyperlink"/>
                <w:rFonts w:ascii="Arial" w:hAnsi="Arial" w:cs="Arial"/>
                <w:noProof/>
              </w:rPr>
              <w:t>11.7 Northern Ireland – Regional level</w:t>
            </w:r>
            <w:r>
              <w:rPr>
                <w:noProof/>
                <w:webHidden/>
              </w:rPr>
              <w:tab/>
            </w:r>
            <w:r>
              <w:rPr>
                <w:noProof/>
                <w:webHidden/>
              </w:rPr>
              <w:fldChar w:fldCharType="begin"/>
            </w:r>
            <w:r>
              <w:rPr>
                <w:noProof/>
                <w:webHidden/>
              </w:rPr>
              <w:instrText xml:space="preserve"> PAGEREF _Toc198879256 \h </w:instrText>
            </w:r>
            <w:r>
              <w:rPr>
                <w:noProof/>
                <w:webHidden/>
              </w:rPr>
            </w:r>
            <w:r>
              <w:rPr>
                <w:noProof/>
                <w:webHidden/>
              </w:rPr>
              <w:fldChar w:fldCharType="separate"/>
            </w:r>
            <w:r>
              <w:rPr>
                <w:noProof/>
                <w:webHidden/>
              </w:rPr>
              <w:t>23</w:t>
            </w:r>
            <w:r>
              <w:rPr>
                <w:noProof/>
                <w:webHidden/>
              </w:rPr>
              <w:fldChar w:fldCharType="end"/>
            </w:r>
          </w:hyperlink>
        </w:p>
        <w:p w14:paraId="68B11EE6" w14:textId="0D15C931"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7" w:history="1">
            <w:r w:rsidRPr="00B12898">
              <w:rPr>
                <w:rStyle w:val="Hyperlink"/>
                <w:rFonts w:ascii="Arial" w:hAnsi="Arial" w:cs="Arial"/>
                <w:noProof/>
              </w:rPr>
              <w:t>11.8 England – regional level</w:t>
            </w:r>
            <w:r>
              <w:rPr>
                <w:noProof/>
                <w:webHidden/>
              </w:rPr>
              <w:tab/>
            </w:r>
            <w:r>
              <w:rPr>
                <w:noProof/>
                <w:webHidden/>
              </w:rPr>
              <w:fldChar w:fldCharType="begin"/>
            </w:r>
            <w:r>
              <w:rPr>
                <w:noProof/>
                <w:webHidden/>
              </w:rPr>
              <w:instrText xml:space="preserve"> PAGEREF _Toc198879257 \h </w:instrText>
            </w:r>
            <w:r>
              <w:rPr>
                <w:noProof/>
                <w:webHidden/>
              </w:rPr>
            </w:r>
            <w:r>
              <w:rPr>
                <w:noProof/>
                <w:webHidden/>
              </w:rPr>
              <w:fldChar w:fldCharType="separate"/>
            </w:r>
            <w:r>
              <w:rPr>
                <w:noProof/>
                <w:webHidden/>
              </w:rPr>
              <w:t>24</w:t>
            </w:r>
            <w:r>
              <w:rPr>
                <w:noProof/>
                <w:webHidden/>
              </w:rPr>
              <w:fldChar w:fldCharType="end"/>
            </w:r>
          </w:hyperlink>
        </w:p>
        <w:p w14:paraId="6DFB5955" w14:textId="073CE972"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8" w:history="1">
            <w:r w:rsidRPr="00B12898">
              <w:rPr>
                <w:rStyle w:val="Hyperlink"/>
                <w:rFonts w:ascii="Arial" w:hAnsi="Arial" w:cs="Arial"/>
                <w:noProof/>
              </w:rPr>
              <w:t>11.9 Scotland – regional level</w:t>
            </w:r>
            <w:r>
              <w:rPr>
                <w:noProof/>
                <w:webHidden/>
              </w:rPr>
              <w:tab/>
            </w:r>
            <w:r>
              <w:rPr>
                <w:noProof/>
                <w:webHidden/>
              </w:rPr>
              <w:fldChar w:fldCharType="begin"/>
            </w:r>
            <w:r>
              <w:rPr>
                <w:noProof/>
                <w:webHidden/>
              </w:rPr>
              <w:instrText xml:space="preserve"> PAGEREF _Toc198879258 \h </w:instrText>
            </w:r>
            <w:r>
              <w:rPr>
                <w:noProof/>
                <w:webHidden/>
              </w:rPr>
            </w:r>
            <w:r>
              <w:rPr>
                <w:noProof/>
                <w:webHidden/>
              </w:rPr>
              <w:fldChar w:fldCharType="separate"/>
            </w:r>
            <w:r>
              <w:rPr>
                <w:noProof/>
                <w:webHidden/>
              </w:rPr>
              <w:t>24</w:t>
            </w:r>
            <w:r>
              <w:rPr>
                <w:noProof/>
                <w:webHidden/>
              </w:rPr>
              <w:fldChar w:fldCharType="end"/>
            </w:r>
          </w:hyperlink>
        </w:p>
        <w:p w14:paraId="5E9F14C7" w14:textId="4E254CEA" w:rsidR="00B3508F" w:rsidRDefault="00B3508F">
          <w:pPr>
            <w:pStyle w:val="TOC2"/>
            <w:tabs>
              <w:tab w:val="right" w:leader="dot" w:pos="9016"/>
            </w:tabs>
            <w:rPr>
              <w:rFonts w:asciiTheme="minorHAnsi" w:eastAsiaTheme="minorEastAsia" w:hAnsiTheme="minorHAnsi"/>
              <w:noProof/>
              <w:sz w:val="24"/>
              <w:szCs w:val="24"/>
              <w:lang w:eastAsia="en-GB"/>
            </w:rPr>
          </w:pPr>
          <w:hyperlink w:anchor="_Toc198879259" w:history="1">
            <w:r w:rsidRPr="00B12898">
              <w:rPr>
                <w:rStyle w:val="Hyperlink"/>
                <w:rFonts w:ascii="Arial" w:hAnsi="Arial" w:cs="Arial"/>
                <w:noProof/>
              </w:rPr>
              <w:t>11.10 Wales – regional level</w:t>
            </w:r>
            <w:r>
              <w:rPr>
                <w:noProof/>
                <w:webHidden/>
              </w:rPr>
              <w:tab/>
            </w:r>
            <w:r>
              <w:rPr>
                <w:noProof/>
                <w:webHidden/>
              </w:rPr>
              <w:fldChar w:fldCharType="begin"/>
            </w:r>
            <w:r>
              <w:rPr>
                <w:noProof/>
                <w:webHidden/>
              </w:rPr>
              <w:instrText xml:space="preserve"> PAGEREF _Toc198879259 \h </w:instrText>
            </w:r>
            <w:r>
              <w:rPr>
                <w:noProof/>
                <w:webHidden/>
              </w:rPr>
            </w:r>
            <w:r>
              <w:rPr>
                <w:noProof/>
                <w:webHidden/>
              </w:rPr>
              <w:fldChar w:fldCharType="separate"/>
            </w:r>
            <w:r>
              <w:rPr>
                <w:noProof/>
                <w:webHidden/>
              </w:rPr>
              <w:t>24</w:t>
            </w:r>
            <w:r>
              <w:rPr>
                <w:noProof/>
                <w:webHidden/>
              </w:rPr>
              <w:fldChar w:fldCharType="end"/>
            </w:r>
          </w:hyperlink>
        </w:p>
        <w:p w14:paraId="17ECFCB9" w14:textId="5DFBA947" w:rsidR="00B3508F" w:rsidRDefault="00B3508F">
          <w:pPr>
            <w:pStyle w:val="TOC1"/>
            <w:tabs>
              <w:tab w:val="right" w:leader="dot" w:pos="9016"/>
            </w:tabs>
            <w:rPr>
              <w:rFonts w:asciiTheme="minorHAnsi" w:eastAsiaTheme="minorEastAsia" w:hAnsiTheme="minorHAnsi"/>
              <w:noProof/>
              <w:sz w:val="24"/>
              <w:szCs w:val="24"/>
              <w:lang w:eastAsia="en-GB"/>
            </w:rPr>
          </w:pPr>
          <w:hyperlink w:anchor="_Toc198879260" w:history="1">
            <w:r w:rsidRPr="00B12898">
              <w:rPr>
                <w:rStyle w:val="Hyperlink"/>
                <w:rFonts w:ascii="Arial" w:hAnsi="Arial" w:cs="Arial"/>
                <w:noProof/>
              </w:rPr>
              <w:t>RTPI - Royal Town Planning Institute</w:t>
            </w:r>
            <w:r>
              <w:rPr>
                <w:noProof/>
                <w:webHidden/>
              </w:rPr>
              <w:tab/>
            </w:r>
            <w:r>
              <w:rPr>
                <w:noProof/>
                <w:webHidden/>
              </w:rPr>
              <w:fldChar w:fldCharType="begin"/>
            </w:r>
            <w:r>
              <w:rPr>
                <w:noProof/>
                <w:webHidden/>
              </w:rPr>
              <w:instrText xml:space="preserve"> PAGEREF _Toc198879260 \h </w:instrText>
            </w:r>
            <w:r>
              <w:rPr>
                <w:noProof/>
                <w:webHidden/>
              </w:rPr>
            </w:r>
            <w:r>
              <w:rPr>
                <w:noProof/>
                <w:webHidden/>
              </w:rPr>
              <w:fldChar w:fldCharType="separate"/>
            </w:r>
            <w:r>
              <w:rPr>
                <w:noProof/>
                <w:webHidden/>
              </w:rPr>
              <w:t>24</w:t>
            </w:r>
            <w:r>
              <w:rPr>
                <w:noProof/>
                <w:webHidden/>
              </w:rPr>
              <w:fldChar w:fldCharType="end"/>
            </w:r>
          </w:hyperlink>
        </w:p>
        <w:p w14:paraId="71D456FA" w14:textId="76FF4977" w:rsidR="00693288" w:rsidRPr="00D125EC" w:rsidRDefault="003C1B27" w:rsidP="008209E1">
          <w:pPr>
            <w:rPr>
              <w:rFonts w:ascii="Arial" w:hAnsi="Arial" w:cs="Arial"/>
            </w:rPr>
          </w:pPr>
          <w:r w:rsidRPr="00D125EC">
            <w:rPr>
              <w:rFonts w:ascii="Arial" w:hAnsi="Arial" w:cs="Arial"/>
            </w:rPr>
            <w:fldChar w:fldCharType="end"/>
          </w:r>
        </w:p>
      </w:sdtContent>
    </w:sdt>
    <w:p w14:paraId="1953D473" w14:textId="1E8E3463" w:rsidR="009C6128" w:rsidRPr="00D125EC" w:rsidRDefault="009C6128" w:rsidP="00D125EC">
      <w:pPr>
        <w:spacing w:line="360" w:lineRule="auto"/>
        <w:rPr>
          <w:rFonts w:ascii="Arial" w:hAnsi="Arial" w:cs="Arial"/>
          <w:sz w:val="24"/>
          <w:szCs w:val="24"/>
        </w:rPr>
      </w:pPr>
    </w:p>
    <w:p w14:paraId="1920B350" w14:textId="67A42A87" w:rsidR="00693288" w:rsidRPr="00D125EC" w:rsidRDefault="0000195A" w:rsidP="00A865F3">
      <w:pPr>
        <w:pStyle w:val="Heading1"/>
        <w:spacing w:line="276" w:lineRule="auto"/>
        <w:rPr>
          <w:rFonts w:ascii="Arial" w:hAnsi="Arial" w:cs="Arial"/>
        </w:rPr>
      </w:pPr>
      <w:bookmarkStart w:id="8" w:name="_Toc198879222"/>
      <w:r>
        <w:rPr>
          <w:rFonts w:ascii="Arial" w:hAnsi="Arial" w:cs="Arial"/>
        </w:rPr>
        <w:t xml:space="preserve">1. </w:t>
      </w:r>
      <w:r w:rsidR="00411E52" w:rsidRPr="00D125EC">
        <w:rPr>
          <w:rFonts w:ascii="Arial" w:hAnsi="Arial" w:cs="Arial"/>
        </w:rPr>
        <w:t>Introduction</w:t>
      </w:r>
      <w:bookmarkEnd w:id="8"/>
    </w:p>
    <w:p w14:paraId="6D73FEE1" w14:textId="0D6A9E5F" w:rsidR="00411E52" w:rsidRPr="0000195A" w:rsidRDefault="0000195A" w:rsidP="00D125EC">
      <w:pPr>
        <w:pStyle w:val="Heading2"/>
      </w:pPr>
      <w:bookmarkStart w:id="9" w:name="_Toc198879223"/>
      <w:r>
        <w:t>1.</w:t>
      </w:r>
      <w:r w:rsidRPr="00D125EC">
        <w:rPr>
          <w:rFonts w:ascii="Arial" w:hAnsi="Arial" w:cs="Arial"/>
        </w:rPr>
        <w:t xml:space="preserve">1 </w:t>
      </w:r>
      <w:r w:rsidR="00411E52" w:rsidRPr="00D125EC">
        <w:rPr>
          <w:rFonts w:ascii="Arial" w:hAnsi="Arial" w:cs="Arial"/>
        </w:rPr>
        <w:t>A complex landscape</w:t>
      </w:r>
      <w:bookmarkEnd w:id="9"/>
    </w:p>
    <w:p w14:paraId="068E5DB0" w14:textId="43D88E9C" w:rsidR="00917983"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The energy and planning policy landscape across the UK is a complicated one. Energy policy is </w:t>
      </w:r>
      <w:r w:rsidR="001021D9" w:rsidRPr="00D125EC">
        <w:rPr>
          <w:rFonts w:ascii="Arial" w:hAnsi="Arial" w:cs="Arial"/>
          <w:sz w:val="24"/>
          <w:szCs w:val="24"/>
        </w:rPr>
        <w:t xml:space="preserve">largely the responsibility of </w:t>
      </w:r>
      <w:r w:rsidRPr="00D125EC">
        <w:rPr>
          <w:rFonts w:ascii="Arial" w:hAnsi="Arial" w:cs="Arial"/>
          <w:sz w:val="24"/>
          <w:szCs w:val="24"/>
        </w:rPr>
        <w:t>the UK government, while planning is devolved</w:t>
      </w:r>
      <w:r w:rsidR="001021D9" w:rsidRPr="00D125EC">
        <w:rPr>
          <w:rFonts w:ascii="Arial" w:hAnsi="Arial" w:cs="Arial"/>
          <w:sz w:val="24"/>
          <w:szCs w:val="24"/>
        </w:rPr>
        <w:t xml:space="preserve"> to</w:t>
      </w:r>
      <w:r w:rsidR="00772EA1">
        <w:rPr>
          <w:rFonts w:ascii="Arial" w:hAnsi="Arial" w:cs="Arial"/>
          <w:sz w:val="24"/>
          <w:szCs w:val="24"/>
        </w:rPr>
        <w:t xml:space="preserve"> the</w:t>
      </w:r>
      <w:r w:rsidR="001021D9" w:rsidRPr="00D125EC">
        <w:rPr>
          <w:rFonts w:ascii="Arial" w:hAnsi="Arial" w:cs="Arial"/>
          <w:sz w:val="24"/>
          <w:szCs w:val="24"/>
        </w:rPr>
        <w:t xml:space="preserve"> administrations in Scotland, Wales, and Northern Ireland</w:t>
      </w:r>
      <w:r w:rsidRPr="00D125EC">
        <w:rPr>
          <w:rFonts w:ascii="Arial" w:hAnsi="Arial" w:cs="Arial"/>
          <w:sz w:val="24"/>
          <w:szCs w:val="24"/>
        </w:rPr>
        <w:t>.</w:t>
      </w:r>
      <w:r w:rsidR="005D5576" w:rsidRPr="00D125EC">
        <w:rPr>
          <w:rFonts w:ascii="Arial" w:hAnsi="Arial" w:cs="Arial"/>
          <w:sz w:val="24"/>
          <w:szCs w:val="24"/>
        </w:rPr>
        <w:t xml:space="preserve"> </w:t>
      </w:r>
    </w:p>
    <w:p w14:paraId="168BC21B" w14:textId="323D5425"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terms of electricity generation and transmission, Great Britain – covering England, Scotland and Wales – share one grid, while Northern Ireland has a separate grid. Electricity is then distributed to local areas by various operators. Great Britain and Northern Ireland ha</w:t>
      </w:r>
      <w:r w:rsidR="0013080C" w:rsidRPr="00D125EC">
        <w:rPr>
          <w:rFonts w:ascii="Arial" w:hAnsi="Arial" w:cs="Arial"/>
          <w:sz w:val="24"/>
          <w:szCs w:val="24"/>
        </w:rPr>
        <w:t>ve</w:t>
      </w:r>
      <w:r w:rsidRPr="00D125EC">
        <w:rPr>
          <w:rFonts w:ascii="Arial" w:hAnsi="Arial" w:cs="Arial"/>
          <w:sz w:val="24"/>
          <w:szCs w:val="24"/>
        </w:rPr>
        <w:t xml:space="preserve"> two separate regulators: Ofgem for the former and the Northern Ireland Authority for Energy Regulation for the latter</w:t>
      </w:r>
      <w:r w:rsidR="00F02F67" w:rsidRPr="00D125EC">
        <w:rPr>
          <w:rFonts w:ascii="Arial" w:hAnsi="Arial" w:cs="Arial"/>
          <w:sz w:val="24"/>
          <w:szCs w:val="24"/>
        </w:rPr>
        <w:t>.</w:t>
      </w:r>
    </w:p>
    <w:p w14:paraId="0AA24893" w14:textId="027F2804" w:rsidR="00693288" w:rsidRPr="00D125EC" w:rsidRDefault="00546614" w:rsidP="00D125EC">
      <w:pPr>
        <w:spacing w:line="360" w:lineRule="auto"/>
        <w:rPr>
          <w:rFonts w:ascii="Arial" w:hAnsi="Arial" w:cs="Arial"/>
          <w:sz w:val="24"/>
          <w:szCs w:val="24"/>
        </w:rPr>
      </w:pPr>
      <w:r w:rsidRPr="00D125EC">
        <w:rPr>
          <w:rFonts w:ascii="Arial" w:hAnsi="Arial" w:cs="Arial"/>
          <w:sz w:val="24"/>
          <w:szCs w:val="24"/>
        </w:rPr>
        <w:t xml:space="preserve">Meanwhile, because </w:t>
      </w:r>
      <w:r w:rsidR="00693288" w:rsidRPr="00D125EC">
        <w:rPr>
          <w:rFonts w:ascii="Arial" w:hAnsi="Arial" w:cs="Arial"/>
          <w:sz w:val="24"/>
          <w:szCs w:val="24"/>
        </w:rPr>
        <w:t xml:space="preserve">planning is devolved, each UK nation has its own </w:t>
      </w:r>
      <w:r w:rsidR="00C61FB7">
        <w:rPr>
          <w:rFonts w:ascii="Arial" w:hAnsi="Arial" w:cs="Arial"/>
          <w:sz w:val="24"/>
          <w:szCs w:val="24"/>
        </w:rPr>
        <w:t xml:space="preserve">town </w:t>
      </w:r>
      <w:r w:rsidR="00693288" w:rsidRPr="00D125EC">
        <w:rPr>
          <w:rFonts w:ascii="Arial" w:hAnsi="Arial" w:cs="Arial"/>
          <w:sz w:val="24"/>
          <w:szCs w:val="24"/>
        </w:rPr>
        <w:t xml:space="preserve">planning system. Within these separate planning systems, there is generally a distinction between how major and local projects are </w:t>
      </w:r>
      <w:r w:rsidR="00A21DAB" w:rsidRPr="00D125EC">
        <w:rPr>
          <w:rFonts w:ascii="Arial" w:hAnsi="Arial" w:cs="Arial"/>
          <w:sz w:val="24"/>
          <w:szCs w:val="24"/>
        </w:rPr>
        <w:t xml:space="preserve">consented, </w:t>
      </w:r>
      <w:r w:rsidR="00693288" w:rsidRPr="00D125EC">
        <w:rPr>
          <w:rFonts w:ascii="Arial" w:hAnsi="Arial" w:cs="Arial"/>
          <w:sz w:val="24"/>
          <w:szCs w:val="24"/>
        </w:rPr>
        <w:t>although the specifics differ across nations</w:t>
      </w:r>
      <w:r w:rsidR="00723734" w:rsidRPr="00D125EC">
        <w:rPr>
          <w:rFonts w:ascii="Arial" w:hAnsi="Arial" w:cs="Arial"/>
          <w:sz w:val="24"/>
          <w:szCs w:val="24"/>
        </w:rPr>
        <w:t>.</w:t>
      </w:r>
    </w:p>
    <w:p w14:paraId="2BE4233F" w14:textId="3FEB43AB" w:rsidR="001F565B" w:rsidRPr="00D125EC" w:rsidRDefault="001F565B" w:rsidP="00D125EC">
      <w:pPr>
        <w:spacing w:line="360" w:lineRule="auto"/>
        <w:rPr>
          <w:rFonts w:ascii="Arial" w:hAnsi="Arial" w:cs="Arial"/>
          <w:sz w:val="24"/>
          <w:szCs w:val="24"/>
        </w:rPr>
      </w:pPr>
      <w:r w:rsidRPr="00D125EC">
        <w:rPr>
          <w:rFonts w:ascii="Arial" w:hAnsi="Arial" w:cs="Arial"/>
          <w:sz w:val="24"/>
          <w:szCs w:val="24"/>
        </w:rPr>
        <w:t xml:space="preserve">This </w:t>
      </w:r>
      <w:r w:rsidR="00E92E33" w:rsidRPr="00D125EC">
        <w:rPr>
          <w:rFonts w:ascii="Arial" w:hAnsi="Arial" w:cs="Arial"/>
          <w:sz w:val="24"/>
          <w:szCs w:val="24"/>
        </w:rPr>
        <w:t xml:space="preserve">already </w:t>
      </w:r>
      <w:r w:rsidRPr="00D125EC">
        <w:rPr>
          <w:rFonts w:ascii="Arial" w:hAnsi="Arial" w:cs="Arial"/>
          <w:sz w:val="24"/>
          <w:szCs w:val="24"/>
        </w:rPr>
        <w:t>complex</w:t>
      </w:r>
      <w:r w:rsidR="00E92E33" w:rsidRPr="00D125EC">
        <w:rPr>
          <w:rFonts w:ascii="Arial" w:hAnsi="Arial" w:cs="Arial"/>
          <w:sz w:val="24"/>
          <w:szCs w:val="24"/>
        </w:rPr>
        <w:t xml:space="preserve"> scenario is evolving</w:t>
      </w:r>
      <w:r w:rsidR="001F4583" w:rsidRPr="00D125EC">
        <w:rPr>
          <w:rFonts w:ascii="Arial" w:hAnsi="Arial" w:cs="Arial"/>
          <w:sz w:val="24"/>
          <w:szCs w:val="24"/>
        </w:rPr>
        <w:t xml:space="preserve"> rapidly</w:t>
      </w:r>
      <w:r w:rsidR="00E92E33" w:rsidRPr="00D125EC">
        <w:rPr>
          <w:rFonts w:ascii="Arial" w:hAnsi="Arial" w:cs="Arial"/>
          <w:sz w:val="24"/>
          <w:szCs w:val="24"/>
        </w:rPr>
        <w:t xml:space="preserve">, with new forms of energy-related plans being introduced to the </w:t>
      </w:r>
      <w:r w:rsidR="006771D0" w:rsidRPr="00D125EC">
        <w:rPr>
          <w:rFonts w:ascii="Arial" w:hAnsi="Arial" w:cs="Arial"/>
          <w:sz w:val="24"/>
          <w:szCs w:val="24"/>
        </w:rPr>
        <w:t>policy landscape at various levels</w:t>
      </w:r>
      <w:r w:rsidR="003F4AB6" w:rsidRPr="00D125EC">
        <w:rPr>
          <w:rFonts w:ascii="Arial" w:hAnsi="Arial" w:cs="Arial"/>
          <w:sz w:val="24"/>
          <w:szCs w:val="24"/>
        </w:rPr>
        <w:t xml:space="preserve"> and </w:t>
      </w:r>
      <w:r w:rsidR="001F4583" w:rsidRPr="00D125EC">
        <w:rPr>
          <w:rFonts w:ascii="Arial" w:hAnsi="Arial" w:cs="Arial"/>
          <w:sz w:val="24"/>
          <w:szCs w:val="24"/>
        </w:rPr>
        <w:t xml:space="preserve">with </w:t>
      </w:r>
      <w:r w:rsidR="00C61FB7">
        <w:rPr>
          <w:rFonts w:ascii="Arial" w:hAnsi="Arial" w:cs="Arial"/>
          <w:sz w:val="24"/>
          <w:szCs w:val="24"/>
        </w:rPr>
        <w:t xml:space="preserve">town </w:t>
      </w:r>
      <w:r w:rsidR="003F4AB6" w:rsidRPr="00D125EC">
        <w:rPr>
          <w:rFonts w:ascii="Arial" w:hAnsi="Arial" w:cs="Arial"/>
          <w:sz w:val="24"/>
          <w:szCs w:val="24"/>
        </w:rPr>
        <w:t>planning reform ongoing</w:t>
      </w:r>
      <w:r w:rsidR="006771D0" w:rsidRPr="00D125EC">
        <w:rPr>
          <w:rFonts w:ascii="Arial" w:hAnsi="Arial" w:cs="Arial"/>
          <w:sz w:val="24"/>
          <w:szCs w:val="24"/>
        </w:rPr>
        <w:t>.</w:t>
      </w:r>
    </w:p>
    <w:p w14:paraId="4D6E323D" w14:textId="4051F7A1" w:rsidR="00225C3A" w:rsidRPr="00D125EC" w:rsidRDefault="00510280" w:rsidP="00D125EC">
      <w:pPr>
        <w:pStyle w:val="Heading2"/>
        <w:spacing w:line="360" w:lineRule="auto"/>
        <w:rPr>
          <w:rFonts w:ascii="Arial" w:hAnsi="Arial" w:cs="Arial"/>
          <w:szCs w:val="24"/>
        </w:rPr>
      </w:pPr>
      <w:bookmarkStart w:id="10" w:name="_Toc198879224"/>
      <w:r>
        <w:rPr>
          <w:rFonts w:ascii="Arial" w:hAnsi="Arial" w:cs="Arial"/>
          <w:szCs w:val="24"/>
        </w:rPr>
        <w:lastRenderedPageBreak/>
        <w:t xml:space="preserve">1.2 </w:t>
      </w:r>
      <w:r w:rsidR="00EE0311" w:rsidRPr="00D125EC">
        <w:rPr>
          <w:rFonts w:ascii="Arial" w:hAnsi="Arial" w:cs="Arial"/>
          <w:szCs w:val="24"/>
        </w:rPr>
        <w:t>This resource</w:t>
      </w:r>
      <w:r w:rsidR="007D7E5F" w:rsidRPr="00D125EC">
        <w:rPr>
          <w:rFonts w:ascii="Arial" w:hAnsi="Arial" w:cs="Arial"/>
          <w:szCs w:val="24"/>
        </w:rPr>
        <w:t xml:space="preserve">: </w:t>
      </w:r>
      <w:r w:rsidR="006771D0" w:rsidRPr="00D125EC">
        <w:rPr>
          <w:rFonts w:ascii="Arial" w:hAnsi="Arial" w:cs="Arial"/>
          <w:szCs w:val="24"/>
        </w:rPr>
        <w:t xml:space="preserve">Navigating changing </w:t>
      </w:r>
      <w:r w:rsidR="003F4AB6" w:rsidRPr="00D125EC">
        <w:rPr>
          <w:rFonts w:ascii="Arial" w:hAnsi="Arial" w:cs="Arial"/>
          <w:szCs w:val="24"/>
        </w:rPr>
        <w:t>energy infrastruct</w:t>
      </w:r>
      <w:r w:rsidR="00A32926" w:rsidRPr="00D125EC">
        <w:rPr>
          <w:rFonts w:ascii="Arial" w:hAnsi="Arial" w:cs="Arial"/>
          <w:szCs w:val="24"/>
        </w:rPr>
        <w:t xml:space="preserve">ure-related planning regimes and energy </w:t>
      </w:r>
      <w:r w:rsidR="00EF3E21" w:rsidRPr="00D125EC">
        <w:rPr>
          <w:rFonts w:ascii="Arial" w:hAnsi="Arial" w:cs="Arial"/>
          <w:szCs w:val="24"/>
        </w:rPr>
        <w:t>policy</w:t>
      </w:r>
      <w:bookmarkEnd w:id="10"/>
    </w:p>
    <w:p w14:paraId="0EC6DCD0" w14:textId="40E1656C" w:rsidR="00693288" w:rsidRPr="00D125EC" w:rsidRDefault="00693288" w:rsidP="00D125EC">
      <w:pPr>
        <w:spacing w:line="360" w:lineRule="auto"/>
        <w:rPr>
          <w:rFonts w:ascii="Arial" w:hAnsi="Arial" w:cs="Arial"/>
          <w:b/>
          <w:bCs/>
          <w:sz w:val="24"/>
          <w:szCs w:val="24"/>
        </w:rPr>
      </w:pPr>
      <w:r w:rsidRPr="00D125EC">
        <w:rPr>
          <w:rFonts w:ascii="Arial" w:hAnsi="Arial" w:cs="Arial"/>
          <w:sz w:val="24"/>
          <w:szCs w:val="24"/>
        </w:rPr>
        <w:t>Recognising th</w:t>
      </w:r>
      <w:r w:rsidR="001F565B" w:rsidRPr="00D125EC">
        <w:rPr>
          <w:rFonts w:ascii="Arial" w:hAnsi="Arial" w:cs="Arial"/>
          <w:sz w:val="24"/>
          <w:szCs w:val="24"/>
        </w:rPr>
        <w:t>is complexity and change</w:t>
      </w:r>
      <w:r w:rsidRPr="00D125EC">
        <w:rPr>
          <w:rFonts w:ascii="Arial" w:hAnsi="Arial" w:cs="Arial"/>
          <w:sz w:val="24"/>
          <w:szCs w:val="24"/>
        </w:rPr>
        <w:t xml:space="preserve">, </w:t>
      </w:r>
      <w:r w:rsidRPr="00D125EC">
        <w:rPr>
          <w:rFonts w:ascii="Arial" w:hAnsi="Arial" w:cs="Arial"/>
          <w:b/>
          <w:bCs/>
          <w:sz w:val="24"/>
          <w:szCs w:val="24"/>
        </w:rPr>
        <w:t xml:space="preserve">this </w:t>
      </w:r>
      <w:r w:rsidR="001F565B" w:rsidRPr="00D125EC">
        <w:rPr>
          <w:rFonts w:ascii="Arial" w:hAnsi="Arial" w:cs="Arial"/>
          <w:b/>
          <w:bCs/>
          <w:sz w:val="24"/>
          <w:szCs w:val="24"/>
        </w:rPr>
        <w:t>resource provides readers with a</w:t>
      </w:r>
      <w:r w:rsidR="00E92E33" w:rsidRPr="00D125EC">
        <w:rPr>
          <w:rFonts w:ascii="Arial" w:hAnsi="Arial" w:cs="Arial"/>
          <w:b/>
          <w:bCs/>
          <w:sz w:val="24"/>
          <w:szCs w:val="24"/>
        </w:rPr>
        <w:t>n overview of</w:t>
      </w:r>
      <w:r w:rsidRPr="00D125EC">
        <w:rPr>
          <w:rFonts w:ascii="Arial" w:hAnsi="Arial" w:cs="Arial"/>
          <w:b/>
          <w:bCs/>
          <w:sz w:val="24"/>
          <w:szCs w:val="24"/>
        </w:rPr>
        <w:t>:</w:t>
      </w:r>
    </w:p>
    <w:p w14:paraId="6E2020A6" w14:textId="78590DB8" w:rsidR="00546614" w:rsidRPr="00D125EC" w:rsidRDefault="001F4583" w:rsidP="00D125EC">
      <w:pPr>
        <w:pStyle w:val="ListParagraph"/>
        <w:numPr>
          <w:ilvl w:val="0"/>
          <w:numId w:val="19"/>
        </w:numPr>
        <w:spacing w:after="200" w:line="360" w:lineRule="auto"/>
        <w:rPr>
          <w:rFonts w:ascii="Arial" w:hAnsi="Arial" w:cs="Arial"/>
          <w:b/>
          <w:bCs/>
          <w:sz w:val="24"/>
          <w:szCs w:val="24"/>
        </w:rPr>
      </w:pPr>
      <w:r w:rsidRPr="00D125EC">
        <w:rPr>
          <w:rFonts w:ascii="Arial" w:hAnsi="Arial" w:cs="Arial"/>
          <w:b/>
          <w:bCs/>
          <w:sz w:val="24"/>
          <w:szCs w:val="24"/>
        </w:rPr>
        <w:t>Climate</w:t>
      </w:r>
      <w:r w:rsidR="00546614" w:rsidRPr="00D125EC">
        <w:rPr>
          <w:rFonts w:ascii="Arial" w:hAnsi="Arial" w:cs="Arial"/>
          <w:b/>
          <w:bCs/>
          <w:sz w:val="24"/>
          <w:szCs w:val="24"/>
        </w:rPr>
        <w:t xml:space="preserve"> and energy targets</w:t>
      </w:r>
      <w:r w:rsidRPr="00D125EC">
        <w:rPr>
          <w:rFonts w:ascii="Arial" w:hAnsi="Arial" w:cs="Arial"/>
          <w:b/>
          <w:bCs/>
          <w:sz w:val="24"/>
          <w:szCs w:val="24"/>
        </w:rPr>
        <w:t xml:space="preserve"> across the UK</w:t>
      </w:r>
      <w:r w:rsidR="00546614" w:rsidRPr="00D125EC">
        <w:rPr>
          <w:rFonts w:ascii="Arial" w:hAnsi="Arial" w:cs="Arial"/>
          <w:b/>
          <w:bCs/>
          <w:sz w:val="24"/>
          <w:szCs w:val="24"/>
        </w:rPr>
        <w:t>, and how they are reflected in policies across different nations;</w:t>
      </w:r>
    </w:p>
    <w:p w14:paraId="6C468627" w14:textId="75B30A6C" w:rsidR="00546614" w:rsidRPr="00D125EC" w:rsidRDefault="00546614" w:rsidP="00D125EC">
      <w:pPr>
        <w:pStyle w:val="ListParagraph"/>
        <w:numPr>
          <w:ilvl w:val="0"/>
          <w:numId w:val="19"/>
        </w:numPr>
        <w:spacing w:after="200" w:line="360" w:lineRule="auto"/>
        <w:rPr>
          <w:rFonts w:ascii="Arial" w:hAnsi="Arial" w:cs="Arial"/>
          <w:b/>
          <w:bCs/>
          <w:sz w:val="24"/>
          <w:szCs w:val="24"/>
        </w:rPr>
      </w:pPr>
      <w:r w:rsidRPr="00D125EC">
        <w:rPr>
          <w:rFonts w:ascii="Arial" w:hAnsi="Arial" w:cs="Arial"/>
          <w:b/>
          <w:bCs/>
          <w:sz w:val="24"/>
          <w:szCs w:val="24"/>
        </w:rPr>
        <w:t>The electricity transmission and distribution networks across the UK;</w:t>
      </w:r>
    </w:p>
    <w:p w14:paraId="7E11CDE2" w14:textId="2395AE96" w:rsidR="00693288" w:rsidRPr="00D125EC" w:rsidRDefault="00693288" w:rsidP="00D125EC">
      <w:pPr>
        <w:pStyle w:val="ListParagraph"/>
        <w:numPr>
          <w:ilvl w:val="0"/>
          <w:numId w:val="19"/>
        </w:numPr>
        <w:spacing w:after="200" w:line="360" w:lineRule="auto"/>
        <w:rPr>
          <w:rFonts w:ascii="Arial" w:hAnsi="Arial" w:cs="Arial"/>
          <w:b/>
          <w:bCs/>
          <w:sz w:val="24"/>
          <w:szCs w:val="24"/>
        </w:rPr>
      </w:pPr>
      <w:r w:rsidRPr="00D125EC">
        <w:rPr>
          <w:rFonts w:ascii="Arial" w:hAnsi="Arial" w:cs="Arial"/>
          <w:b/>
          <w:bCs/>
          <w:sz w:val="24"/>
          <w:szCs w:val="24"/>
        </w:rPr>
        <w:t>The consenting</w:t>
      </w:r>
      <w:r w:rsidR="006B312C" w:rsidRPr="00D125EC">
        <w:rPr>
          <w:rFonts w:ascii="Arial" w:hAnsi="Arial" w:cs="Arial"/>
          <w:b/>
          <w:bCs/>
          <w:sz w:val="24"/>
          <w:szCs w:val="24"/>
        </w:rPr>
        <w:t xml:space="preserve"> (planning)</w:t>
      </w:r>
      <w:r w:rsidRPr="00D125EC">
        <w:rPr>
          <w:rFonts w:ascii="Arial" w:hAnsi="Arial" w:cs="Arial"/>
          <w:b/>
          <w:bCs/>
          <w:sz w:val="24"/>
          <w:szCs w:val="24"/>
        </w:rPr>
        <w:t xml:space="preserve"> regimes in different UK nations for major and local energy projects; </w:t>
      </w:r>
      <w:r w:rsidR="00546614" w:rsidRPr="00D125EC">
        <w:rPr>
          <w:rFonts w:ascii="Arial" w:hAnsi="Arial" w:cs="Arial"/>
          <w:b/>
          <w:bCs/>
          <w:sz w:val="24"/>
          <w:szCs w:val="24"/>
        </w:rPr>
        <w:t>and</w:t>
      </w:r>
    </w:p>
    <w:p w14:paraId="0C144B65" w14:textId="405774D4" w:rsidR="00693288" w:rsidRPr="00D125EC" w:rsidRDefault="00693288" w:rsidP="00D125EC">
      <w:pPr>
        <w:pStyle w:val="ListParagraph"/>
        <w:numPr>
          <w:ilvl w:val="0"/>
          <w:numId w:val="19"/>
        </w:numPr>
        <w:spacing w:after="200" w:line="360" w:lineRule="auto"/>
        <w:rPr>
          <w:rFonts w:ascii="Arial" w:hAnsi="Arial" w:cs="Arial"/>
          <w:b/>
          <w:bCs/>
          <w:sz w:val="24"/>
          <w:szCs w:val="24"/>
        </w:rPr>
      </w:pPr>
      <w:r w:rsidRPr="00D125EC">
        <w:rPr>
          <w:rFonts w:ascii="Arial" w:hAnsi="Arial" w:cs="Arial"/>
          <w:b/>
          <w:bCs/>
          <w:sz w:val="24"/>
          <w:szCs w:val="24"/>
        </w:rPr>
        <w:t xml:space="preserve">The different levels of </w:t>
      </w:r>
      <w:r w:rsidR="00E20CB4" w:rsidRPr="00D125EC">
        <w:rPr>
          <w:rFonts w:ascii="Arial" w:hAnsi="Arial" w:cs="Arial"/>
          <w:b/>
          <w:bCs/>
          <w:sz w:val="24"/>
          <w:szCs w:val="24"/>
        </w:rPr>
        <w:t xml:space="preserve">energy infrastructure-related </w:t>
      </w:r>
      <w:r w:rsidRPr="00D125EC">
        <w:rPr>
          <w:rFonts w:ascii="Arial" w:hAnsi="Arial" w:cs="Arial"/>
          <w:b/>
          <w:bCs/>
          <w:sz w:val="24"/>
          <w:szCs w:val="24"/>
        </w:rPr>
        <w:t>spatial and development plans in different UK nations</w:t>
      </w:r>
      <w:r w:rsidR="00546614" w:rsidRPr="00D125EC">
        <w:rPr>
          <w:rFonts w:ascii="Arial" w:hAnsi="Arial" w:cs="Arial"/>
          <w:b/>
          <w:bCs/>
          <w:sz w:val="24"/>
          <w:szCs w:val="24"/>
        </w:rPr>
        <w:t>.</w:t>
      </w:r>
    </w:p>
    <w:p w14:paraId="51B32B85" w14:textId="49766D37" w:rsidR="00EF3E21"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At the end of </w:t>
      </w:r>
      <w:r w:rsidR="00C359EF" w:rsidRPr="00D125EC">
        <w:rPr>
          <w:rFonts w:ascii="Arial" w:hAnsi="Arial" w:cs="Arial"/>
          <w:sz w:val="24"/>
          <w:szCs w:val="24"/>
        </w:rPr>
        <w:t xml:space="preserve">the </w:t>
      </w:r>
      <w:r w:rsidRPr="00D125EC">
        <w:rPr>
          <w:rFonts w:ascii="Arial" w:hAnsi="Arial" w:cs="Arial"/>
          <w:sz w:val="24"/>
          <w:szCs w:val="24"/>
        </w:rPr>
        <w:t>chapter, we provide</w:t>
      </w:r>
      <w:r w:rsidR="009135F2" w:rsidRPr="00D125EC">
        <w:rPr>
          <w:rFonts w:ascii="Arial" w:hAnsi="Arial" w:cs="Arial"/>
          <w:sz w:val="24"/>
          <w:szCs w:val="24"/>
        </w:rPr>
        <w:t xml:space="preserve"> reference</w:t>
      </w:r>
      <w:r w:rsidRPr="00D125EC">
        <w:rPr>
          <w:rFonts w:ascii="Arial" w:hAnsi="Arial" w:cs="Arial"/>
          <w:sz w:val="24"/>
          <w:szCs w:val="24"/>
        </w:rPr>
        <w:t xml:space="preserve"> list</w:t>
      </w:r>
      <w:r w:rsidR="00EF3E21" w:rsidRPr="00D125EC">
        <w:rPr>
          <w:rFonts w:ascii="Arial" w:hAnsi="Arial" w:cs="Arial"/>
          <w:sz w:val="24"/>
          <w:szCs w:val="24"/>
        </w:rPr>
        <w:t>s</w:t>
      </w:r>
      <w:r w:rsidRPr="00D125EC">
        <w:rPr>
          <w:rFonts w:ascii="Arial" w:hAnsi="Arial" w:cs="Arial"/>
          <w:sz w:val="24"/>
          <w:szCs w:val="24"/>
        </w:rPr>
        <w:t xml:space="preserve"> of</w:t>
      </w:r>
      <w:r w:rsidR="00EF3E21" w:rsidRPr="00D125EC">
        <w:rPr>
          <w:rFonts w:ascii="Arial" w:hAnsi="Arial" w:cs="Arial"/>
          <w:sz w:val="24"/>
          <w:szCs w:val="24"/>
        </w:rPr>
        <w:t>:</w:t>
      </w:r>
    </w:p>
    <w:p w14:paraId="01B7EA81" w14:textId="04AB4355" w:rsidR="00693288" w:rsidRPr="00D125EC" w:rsidRDefault="00EF3E21"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K</w:t>
      </w:r>
      <w:r w:rsidR="00693288" w:rsidRPr="00D125EC">
        <w:rPr>
          <w:rFonts w:ascii="Arial" w:hAnsi="Arial" w:cs="Arial"/>
          <w:sz w:val="24"/>
          <w:szCs w:val="24"/>
        </w:rPr>
        <w:t>ey government departments and public bodies relevant to infrastructure planning</w:t>
      </w:r>
      <w:r w:rsidR="004705E3" w:rsidRPr="00D125EC">
        <w:rPr>
          <w:rFonts w:ascii="Arial" w:hAnsi="Arial" w:cs="Arial"/>
          <w:sz w:val="24"/>
          <w:szCs w:val="24"/>
        </w:rPr>
        <w:t xml:space="preserve"> in different parts of the UK</w:t>
      </w:r>
      <w:r w:rsidR="00BB6D8D" w:rsidRPr="00D125EC">
        <w:rPr>
          <w:rFonts w:ascii="Arial" w:hAnsi="Arial" w:cs="Arial"/>
          <w:sz w:val="24"/>
          <w:szCs w:val="24"/>
        </w:rPr>
        <w:t>; and</w:t>
      </w:r>
    </w:p>
    <w:p w14:paraId="5E3507A2" w14:textId="0B420D78" w:rsidR="00BB6D8D" w:rsidRPr="00D125EC" w:rsidRDefault="00546614"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Key government departments and public bodies relevant to energy policy.</w:t>
      </w:r>
    </w:p>
    <w:p w14:paraId="5ED6DC85" w14:textId="5212E245" w:rsidR="00051A14" w:rsidRPr="00D125EC" w:rsidRDefault="00327EEE" w:rsidP="00051A14">
      <w:pPr>
        <w:pStyle w:val="Heading1"/>
        <w:spacing w:line="276" w:lineRule="auto"/>
        <w:rPr>
          <w:rFonts w:ascii="Arial" w:hAnsi="Arial" w:cs="Arial"/>
        </w:rPr>
      </w:pPr>
      <w:bookmarkStart w:id="11" w:name="_Toc195178170"/>
      <w:bookmarkStart w:id="12" w:name="_Toc198879225"/>
      <w:r>
        <w:rPr>
          <w:rFonts w:ascii="Arial" w:hAnsi="Arial" w:cs="Arial"/>
        </w:rPr>
        <w:t xml:space="preserve">2. </w:t>
      </w:r>
      <w:r w:rsidR="00051A14" w:rsidRPr="00D125EC">
        <w:rPr>
          <w:rFonts w:ascii="Arial" w:hAnsi="Arial" w:cs="Arial"/>
        </w:rPr>
        <w:t>National energy policy and targets</w:t>
      </w:r>
      <w:bookmarkEnd w:id="11"/>
      <w:bookmarkEnd w:id="12"/>
    </w:p>
    <w:p w14:paraId="73D6BAD2" w14:textId="77777777"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The UK has committed to reaching net zero by 2050. This refers to the ambition to reduce 100% greenhouse gas emissions by that year compared with 1990 levels. </w:t>
      </w:r>
    </w:p>
    <w:p w14:paraId="0FCA08B2" w14:textId="61E047C8"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Covering </w:t>
      </w:r>
      <w:r w:rsidRPr="00D125EC">
        <w:rPr>
          <w:rFonts w:ascii="Arial" w:hAnsi="Arial" w:cs="Arial"/>
          <w:b/>
          <w:bCs/>
          <w:sz w:val="24"/>
          <w:szCs w:val="24"/>
        </w:rPr>
        <w:t>Great Britain</w:t>
      </w:r>
      <w:r w:rsidRPr="00D125EC">
        <w:rPr>
          <w:rFonts w:ascii="Arial" w:hAnsi="Arial" w:cs="Arial"/>
          <w:sz w:val="24"/>
          <w:szCs w:val="24"/>
        </w:rPr>
        <w:t>, Clean Power 2030 is the UK Government’s ambition to ‘generate enough clean power to meet</w:t>
      </w:r>
      <w:r w:rsidR="008947D2">
        <w:rPr>
          <w:rFonts w:ascii="Arial" w:hAnsi="Arial" w:cs="Arial"/>
          <w:sz w:val="24"/>
          <w:szCs w:val="24"/>
        </w:rPr>
        <w:t xml:space="preserve"> our</w:t>
      </w:r>
      <w:r w:rsidR="00725FFC">
        <w:rPr>
          <w:rFonts w:ascii="Arial" w:hAnsi="Arial" w:cs="Arial"/>
          <w:sz w:val="24"/>
          <w:szCs w:val="24"/>
        </w:rPr>
        <w:t xml:space="preserve"> </w:t>
      </w:r>
      <w:r w:rsidRPr="00D125EC">
        <w:rPr>
          <w:rFonts w:ascii="Arial" w:hAnsi="Arial" w:cs="Arial"/>
          <w:sz w:val="24"/>
          <w:szCs w:val="24"/>
        </w:rPr>
        <w:t xml:space="preserve"> total annual electricity demand, backed up by unabated gas supply to be used only when essential’ </w:t>
      </w:r>
      <w:hyperlink r:id="rId14" w:history="1">
        <w:r w:rsidRPr="00D125EC">
          <w:rPr>
            <w:rStyle w:val="Hyperlink"/>
            <w:rFonts w:ascii="Arial" w:hAnsi="Arial" w:cs="Arial"/>
            <w:sz w:val="24"/>
            <w:szCs w:val="24"/>
          </w:rPr>
          <w:t>(NESO, 2025)</w:t>
        </w:r>
      </w:hyperlink>
      <w:r w:rsidRPr="00D125EC">
        <w:rPr>
          <w:rFonts w:ascii="Arial" w:hAnsi="Arial" w:cs="Arial"/>
          <w:sz w:val="24"/>
          <w:szCs w:val="24"/>
        </w:rPr>
        <w:t>. By 2030, clean sources should produce at least 95% of Great Britain’s generation.</w:t>
      </w:r>
    </w:p>
    <w:p w14:paraId="54BC58A0" w14:textId="77777777" w:rsidR="00051A14" w:rsidRPr="00D125EC" w:rsidRDefault="00051A14" w:rsidP="00D125EC">
      <w:pPr>
        <w:spacing w:line="360" w:lineRule="auto"/>
        <w:rPr>
          <w:rFonts w:ascii="Arial" w:hAnsi="Arial" w:cs="Arial"/>
          <w:sz w:val="24"/>
          <w:szCs w:val="24"/>
        </w:rPr>
      </w:pPr>
      <w:r w:rsidRPr="00D125EC">
        <w:rPr>
          <w:rFonts w:ascii="Arial" w:hAnsi="Arial" w:cs="Arial"/>
          <w:b/>
          <w:bCs/>
          <w:sz w:val="24"/>
          <w:szCs w:val="24"/>
        </w:rPr>
        <w:t>Scotland</w:t>
      </w:r>
      <w:r w:rsidRPr="00D125EC">
        <w:rPr>
          <w:rFonts w:ascii="Arial" w:hAnsi="Arial" w:cs="Arial"/>
          <w:sz w:val="24"/>
          <w:szCs w:val="24"/>
        </w:rPr>
        <w:t xml:space="preserve"> aims to achieve net zero by 2045. Its Draft Energy Strategy and Just Transition Plan set out the nation’s plan to expand the energy generation sector, so it will have more than 20GW of additional low-cost renewable generation capacity by 2030 </w:t>
      </w:r>
      <w:hyperlink r:id="rId15" w:history="1">
        <w:r w:rsidRPr="00D125EC">
          <w:rPr>
            <w:rStyle w:val="Hyperlink"/>
            <w:rFonts w:ascii="Arial" w:hAnsi="Arial" w:cs="Arial"/>
            <w:sz w:val="24"/>
            <w:szCs w:val="24"/>
          </w:rPr>
          <w:t>(Scottish Government, 2023)</w:t>
        </w:r>
      </w:hyperlink>
      <w:r w:rsidRPr="00D125EC">
        <w:rPr>
          <w:rFonts w:ascii="Arial" w:hAnsi="Arial" w:cs="Arial"/>
          <w:sz w:val="24"/>
          <w:szCs w:val="24"/>
        </w:rPr>
        <w:t xml:space="preserve">. The nation also aims to have 2GW of community-owned energy by 2030. </w:t>
      </w:r>
    </w:p>
    <w:p w14:paraId="58A0C24C" w14:textId="77777777"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In </w:t>
      </w:r>
      <w:r w:rsidRPr="00D125EC">
        <w:rPr>
          <w:rFonts w:ascii="Arial" w:hAnsi="Arial" w:cs="Arial"/>
          <w:b/>
          <w:bCs/>
          <w:sz w:val="24"/>
          <w:szCs w:val="24"/>
        </w:rPr>
        <w:t>Wales</w:t>
      </w:r>
      <w:r w:rsidRPr="00D125EC">
        <w:rPr>
          <w:rFonts w:ascii="Arial" w:hAnsi="Arial" w:cs="Arial"/>
          <w:sz w:val="24"/>
          <w:szCs w:val="24"/>
        </w:rPr>
        <w:t xml:space="preserve">, the nation’s energy strategy is set out in Energy Wales: A Low Carbon Transition </w:t>
      </w:r>
      <w:hyperlink r:id="rId16" w:history="1">
        <w:r w:rsidRPr="00D125EC">
          <w:rPr>
            <w:rStyle w:val="Hyperlink"/>
            <w:rFonts w:ascii="Arial" w:hAnsi="Arial" w:cs="Arial"/>
            <w:sz w:val="24"/>
            <w:szCs w:val="24"/>
          </w:rPr>
          <w:t>(Welsh Government, 2012)</w:t>
        </w:r>
      </w:hyperlink>
      <w:r w:rsidRPr="00D125EC">
        <w:rPr>
          <w:rFonts w:ascii="Arial" w:hAnsi="Arial" w:cs="Arial"/>
          <w:sz w:val="24"/>
          <w:szCs w:val="24"/>
        </w:rPr>
        <w:t xml:space="preserve">. In 2023, the nation announced that it aims to meet the equivalent of 100% of its annual electricity needs from renewable sources </w:t>
      </w:r>
      <w:r w:rsidRPr="00D125EC">
        <w:rPr>
          <w:rFonts w:ascii="Arial" w:hAnsi="Arial" w:cs="Arial"/>
          <w:sz w:val="24"/>
          <w:szCs w:val="24"/>
        </w:rPr>
        <w:lastRenderedPageBreak/>
        <w:t xml:space="preserve">by 2035 </w:t>
      </w:r>
      <w:hyperlink r:id="rId17" w:history="1">
        <w:r w:rsidRPr="00D125EC">
          <w:rPr>
            <w:rStyle w:val="Hyperlink"/>
            <w:rFonts w:ascii="Arial" w:hAnsi="Arial" w:cs="Arial"/>
            <w:sz w:val="24"/>
            <w:szCs w:val="24"/>
          </w:rPr>
          <w:t>(Welsh Government, 2023)</w:t>
        </w:r>
      </w:hyperlink>
      <w:r w:rsidRPr="00D125EC">
        <w:rPr>
          <w:rFonts w:ascii="Arial" w:hAnsi="Arial" w:cs="Arial"/>
          <w:sz w:val="24"/>
          <w:szCs w:val="24"/>
        </w:rPr>
        <w:t>. They also target to have at least 1.5GW of renewable energy capacity to be locally owned. They expect a separate 5.5GW of renewable energy capacity to be produced by heat pump by the same year, subject to support from the UK government and reductions in the cost of technology.</w:t>
      </w:r>
    </w:p>
    <w:p w14:paraId="2A4AC516" w14:textId="20E1D6D2"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In </w:t>
      </w:r>
      <w:r w:rsidRPr="00D125EC">
        <w:rPr>
          <w:rFonts w:ascii="Arial" w:hAnsi="Arial" w:cs="Arial"/>
          <w:b/>
          <w:bCs/>
          <w:sz w:val="24"/>
          <w:szCs w:val="24"/>
        </w:rPr>
        <w:t>Northern Ireland</w:t>
      </w:r>
      <w:r w:rsidRPr="00D125EC">
        <w:rPr>
          <w:rFonts w:ascii="Arial" w:hAnsi="Arial" w:cs="Arial"/>
          <w:sz w:val="24"/>
          <w:szCs w:val="24"/>
        </w:rPr>
        <w:t>, according to the Climate Change (Northern Ireland) Act 2022, the Department for the Economy must ensure at least 80% of electricity consumption is from renewable sources by 2030. The Energy Strategy – Path to Net Zero Energy document sets out the steps to achieve th</w:t>
      </w:r>
      <w:r w:rsidR="008B7048">
        <w:rPr>
          <w:rFonts w:ascii="Arial" w:hAnsi="Arial" w:cs="Arial"/>
          <w:sz w:val="24"/>
          <w:szCs w:val="24"/>
        </w:rPr>
        <w:t>is</w:t>
      </w:r>
      <w:r w:rsidRPr="00D125EC">
        <w:rPr>
          <w:rFonts w:ascii="Arial" w:hAnsi="Arial" w:cs="Arial"/>
          <w:sz w:val="24"/>
          <w:szCs w:val="24"/>
        </w:rPr>
        <w:t xml:space="preserve"> </w:t>
      </w:r>
      <w:hyperlink r:id="rId18" w:history="1">
        <w:r w:rsidRPr="00D125EC">
          <w:rPr>
            <w:rStyle w:val="Hyperlink"/>
            <w:rFonts w:ascii="Arial" w:hAnsi="Arial" w:cs="Arial"/>
            <w:sz w:val="24"/>
            <w:szCs w:val="24"/>
          </w:rPr>
          <w:t>(Department for Economy, 2021)</w:t>
        </w:r>
      </w:hyperlink>
      <w:r w:rsidRPr="00D125EC">
        <w:rPr>
          <w:rFonts w:ascii="Arial" w:hAnsi="Arial" w:cs="Arial"/>
          <w:sz w:val="24"/>
          <w:szCs w:val="24"/>
        </w:rPr>
        <w:t xml:space="preserve">. </w:t>
      </w:r>
    </w:p>
    <w:p w14:paraId="1177B0EA" w14:textId="210AFA06" w:rsidR="00051A14" w:rsidRPr="00D125EC" w:rsidRDefault="00327EEE" w:rsidP="00051A14">
      <w:pPr>
        <w:pStyle w:val="Heading1"/>
        <w:spacing w:line="276" w:lineRule="auto"/>
        <w:rPr>
          <w:rFonts w:ascii="Arial" w:hAnsi="Arial" w:cs="Arial"/>
        </w:rPr>
      </w:pPr>
      <w:bookmarkStart w:id="13" w:name="_Toc195178171"/>
      <w:bookmarkStart w:id="14" w:name="_Toc198879226"/>
      <w:r>
        <w:rPr>
          <w:rFonts w:ascii="Arial" w:hAnsi="Arial" w:cs="Arial"/>
        </w:rPr>
        <w:t xml:space="preserve">3. </w:t>
      </w:r>
      <w:r w:rsidR="00051A14" w:rsidRPr="00D125EC">
        <w:rPr>
          <w:rFonts w:ascii="Arial" w:hAnsi="Arial" w:cs="Arial"/>
        </w:rPr>
        <w:t>Electricity transmission</w:t>
      </w:r>
      <w:bookmarkEnd w:id="13"/>
      <w:bookmarkEnd w:id="14"/>
    </w:p>
    <w:p w14:paraId="37CAC545" w14:textId="0243D65A"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For </w:t>
      </w:r>
      <w:r w:rsidRPr="00D125EC">
        <w:rPr>
          <w:rFonts w:ascii="Arial" w:hAnsi="Arial" w:cs="Arial"/>
          <w:b/>
          <w:bCs/>
          <w:sz w:val="24"/>
          <w:szCs w:val="24"/>
        </w:rPr>
        <w:t>transmission</w:t>
      </w:r>
      <w:r w:rsidRPr="00D125EC">
        <w:rPr>
          <w:rFonts w:ascii="Arial" w:hAnsi="Arial" w:cs="Arial"/>
          <w:sz w:val="24"/>
          <w:szCs w:val="24"/>
        </w:rPr>
        <w:t xml:space="preserve">, </w:t>
      </w:r>
      <w:r w:rsidRPr="00D125EC">
        <w:rPr>
          <w:rFonts w:ascii="Arial" w:hAnsi="Arial" w:cs="Arial"/>
          <w:b/>
          <w:bCs/>
          <w:sz w:val="24"/>
          <w:szCs w:val="24"/>
        </w:rPr>
        <w:t>the National Energy System Operator (NESO)</w:t>
      </w:r>
      <w:r w:rsidRPr="00D125EC">
        <w:rPr>
          <w:rFonts w:ascii="Arial" w:hAnsi="Arial" w:cs="Arial"/>
          <w:sz w:val="24"/>
          <w:szCs w:val="24"/>
        </w:rPr>
        <w:t xml:space="preserve"> manages the flow of electricity within Great Britain, ensuring there is enough supply to meet consumer demand.</w:t>
      </w:r>
    </w:p>
    <w:p w14:paraId="78FEADBF" w14:textId="77777777"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In England and Wales, </w:t>
      </w:r>
      <w:r w:rsidRPr="00D125EC">
        <w:rPr>
          <w:rFonts w:ascii="Arial" w:hAnsi="Arial" w:cs="Arial"/>
          <w:b/>
          <w:bCs/>
          <w:sz w:val="24"/>
          <w:szCs w:val="24"/>
        </w:rPr>
        <w:t>National Grid Electricity Transmission</w:t>
      </w:r>
      <w:r w:rsidRPr="00D125EC">
        <w:rPr>
          <w:rFonts w:ascii="Arial" w:hAnsi="Arial" w:cs="Arial"/>
          <w:sz w:val="24"/>
          <w:szCs w:val="24"/>
        </w:rPr>
        <w:t xml:space="preserve"> owns and maintains the high voltage electricity network. In central and southern Scotland, this is the responsibility of </w:t>
      </w:r>
      <w:r w:rsidRPr="00D125EC">
        <w:rPr>
          <w:rFonts w:ascii="Arial" w:hAnsi="Arial" w:cs="Arial"/>
          <w:b/>
          <w:bCs/>
          <w:sz w:val="24"/>
          <w:szCs w:val="24"/>
        </w:rPr>
        <w:t>Scottish Power (SP)</w:t>
      </w:r>
      <w:r w:rsidRPr="00D125EC">
        <w:rPr>
          <w:rFonts w:ascii="Arial" w:hAnsi="Arial" w:cs="Arial"/>
          <w:sz w:val="24"/>
          <w:szCs w:val="24"/>
        </w:rPr>
        <w:t xml:space="preserve">; in the north of Scotland, this remit falls with </w:t>
      </w:r>
      <w:r w:rsidRPr="00D125EC">
        <w:rPr>
          <w:rFonts w:ascii="Arial" w:hAnsi="Arial" w:cs="Arial"/>
          <w:b/>
          <w:bCs/>
          <w:sz w:val="24"/>
          <w:szCs w:val="24"/>
        </w:rPr>
        <w:t>Scottish and Southern Electricity Networks (SSEN)</w:t>
      </w:r>
      <w:r w:rsidRPr="00D125EC">
        <w:rPr>
          <w:rFonts w:ascii="Arial" w:hAnsi="Arial" w:cs="Arial"/>
          <w:sz w:val="24"/>
          <w:szCs w:val="24"/>
        </w:rPr>
        <w:t>.</w:t>
      </w:r>
    </w:p>
    <w:p w14:paraId="5D5C75BE" w14:textId="77777777" w:rsidR="00051A14" w:rsidRPr="00D125EC" w:rsidRDefault="00051A14" w:rsidP="00D125EC">
      <w:pPr>
        <w:spacing w:line="360" w:lineRule="auto"/>
        <w:rPr>
          <w:rFonts w:ascii="Arial" w:hAnsi="Arial" w:cs="Arial"/>
        </w:rPr>
      </w:pPr>
      <w:r w:rsidRPr="00D125EC">
        <w:rPr>
          <w:rFonts w:ascii="Arial" w:hAnsi="Arial" w:cs="Arial"/>
          <w:b/>
          <w:bCs/>
          <w:sz w:val="24"/>
          <w:szCs w:val="24"/>
        </w:rPr>
        <w:t>SONI</w:t>
      </w:r>
      <w:r w:rsidRPr="00D125EC">
        <w:rPr>
          <w:rFonts w:ascii="Arial" w:hAnsi="Arial" w:cs="Arial"/>
          <w:sz w:val="24"/>
          <w:szCs w:val="24"/>
        </w:rPr>
        <w:t xml:space="preserve"> operates the grid of Northern Ireland, in a role similar to NESO</w:t>
      </w:r>
      <w:r w:rsidRPr="00D125EC">
        <w:rPr>
          <w:rFonts w:ascii="Arial" w:hAnsi="Arial" w:cs="Arial"/>
          <w:b/>
          <w:bCs/>
          <w:sz w:val="24"/>
          <w:szCs w:val="24"/>
        </w:rPr>
        <w:t>. Northern Ireland Electricity Networks (NIE Networks)</w:t>
      </w:r>
      <w:r w:rsidRPr="00D125EC">
        <w:rPr>
          <w:rFonts w:ascii="Arial" w:hAnsi="Arial" w:cs="Arial"/>
          <w:sz w:val="24"/>
          <w:szCs w:val="24"/>
        </w:rPr>
        <w:t xml:space="preserve"> owns the transmission and distribution infrastructure</w:t>
      </w:r>
      <w:r w:rsidRPr="00D125EC">
        <w:rPr>
          <w:rFonts w:ascii="Arial" w:hAnsi="Arial" w:cs="Arial"/>
        </w:rPr>
        <w:t xml:space="preserve">. </w:t>
      </w:r>
    </w:p>
    <w:p w14:paraId="3F1DCF84" w14:textId="51E7734E" w:rsidR="00051A14" w:rsidRPr="00D125EC" w:rsidRDefault="00327EEE" w:rsidP="00051A14">
      <w:pPr>
        <w:pStyle w:val="Heading1"/>
        <w:spacing w:line="276" w:lineRule="auto"/>
        <w:rPr>
          <w:rFonts w:ascii="Arial" w:hAnsi="Arial" w:cs="Arial"/>
        </w:rPr>
      </w:pPr>
      <w:bookmarkStart w:id="15" w:name="_Toc195178172"/>
      <w:bookmarkStart w:id="16" w:name="_Toc198879227"/>
      <w:r>
        <w:rPr>
          <w:rFonts w:ascii="Arial" w:hAnsi="Arial" w:cs="Arial"/>
        </w:rPr>
        <w:t xml:space="preserve">4. </w:t>
      </w:r>
      <w:r w:rsidR="00051A14" w:rsidRPr="00D125EC">
        <w:rPr>
          <w:rFonts w:ascii="Arial" w:hAnsi="Arial" w:cs="Arial"/>
        </w:rPr>
        <w:t>Electricity distribution</w:t>
      </w:r>
      <w:bookmarkEnd w:id="15"/>
      <w:bookmarkEnd w:id="16"/>
      <w:r w:rsidR="00051A14" w:rsidRPr="00D125EC">
        <w:rPr>
          <w:rFonts w:ascii="Arial" w:hAnsi="Arial" w:cs="Arial"/>
        </w:rPr>
        <w:t xml:space="preserve"> </w:t>
      </w:r>
    </w:p>
    <w:p w14:paraId="75AEDE74" w14:textId="77777777"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Following long-distance transmission, electricity is transmitted to smaller areas via infrastructure owned by District Network Operators (DNOs).</w:t>
      </w:r>
    </w:p>
    <w:p w14:paraId="509910BC" w14:textId="77777777" w:rsidR="00051A14" w:rsidRPr="00D125EC" w:rsidRDefault="00051A14" w:rsidP="00D125EC">
      <w:pPr>
        <w:spacing w:line="360" w:lineRule="auto"/>
        <w:rPr>
          <w:rFonts w:ascii="Arial" w:hAnsi="Arial" w:cs="Arial"/>
          <w:sz w:val="24"/>
          <w:szCs w:val="24"/>
        </w:rPr>
      </w:pPr>
      <w:r w:rsidRPr="00D125EC">
        <w:rPr>
          <w:rFonts w:ascii="Arial" w:hAnsi="Arial" w:cs="Arial"/>
          <w:sz w:val="24"/>
          <w:szCs w:val="24"/>
        </w:rPr>
        <w:t>There are six DNOs in Great Britain:</w:t>
      </w:r>
    </w:p>
    <w:p w14:paraId="1B23DB3C" w14:textId="1A88A104" w:rsidR="00051A14" w:rsidRPr="00D125EC" w:rsidRDefault="00051A14" w:rsidP="00D125EC">
      <w:pPr>
        <w:pStyle w:val="ListParagraph"/>
        <w:numPr>
          <w:ilvl w:val="0"/>
          <w:numId w:val="34"/>
        </w:numPr>
        <w:spacing w:after="200" w:line="360" w:lineRule="auto"/>
        <w:rPr>
          <w:rFonts w:ascii="Arial" w:hAnsi="Arial" w:cs="Arial"/>
          <w:sz w:val="24"/>
          <w:szCs w:val="24"/>
        </w:rPr>
      </w:pPr>
      <w:r w:rsidRPr="00D125EC">
        <w:rPr>
          <w:rFonts w:ascii="Arial" w:hAnsi="Arial" w:cs="Arial"/>
          <w:b/>
          <w:bCs/>
          <w:sz w:val="24"/>
          <w:szCs w:val="24"/>
        </w:rPr>
        <w:t xml:space="preserve">Scottish and Southern electricity Networks </w:t>
      </w:r>
      <w:r w:rsidRPr="00D125EC">
        <w:rPr>
          <w:rFonts w:ascii="Arial" w:hAnsi="Arial" w:cs="Arial"/>
          <w:sz w:val="24"/>
          <w:szCs w:val="24"/>
        </w:rPr>
        <w:t>which covers Scotland and parts of England;</w:t>
      </w:r>
    </w:p>
    <w:p w14:paraId="499E4598" w14:textId="3A4C3398" w:rsidR="00051A14" w:rsidRPr="00D125EC" w:rsidRDefault="00051A14" w:rsidP="00D125EC">
      <w:pPr>
        <w:pStyle w:val="ListParagraph"/>
        <w:numPr>
          <w:ilvl w:val="0"/>
          <w:numId w:val="34"/>
        </w:numPr>
        <w:spacing w:after="200" w:line="360" w:lineRule="auto"/>
        <w:rPr>
          <w:rFonts w:ascii="Arial" w:hAnsi="Arial" w:cs="Arial"/>
          <w:sz w:val="24"/>
          <w:szCs w:val="24"/>
        </w:rPr>
      </w:pPr>
      <w:r w:rsidRPr="00D125EC">
        <w:rPr>
          <w:rFonts w:ascii="Arial" w:hAnsi="Arial" w:cs="Arial"/>
          <w:b/>
          <w:bCs/>
          <w:sz w:val="24"/>
          <w:szCs w:val="24"/>
        </w:rPr>
        <w:t>SP</w:t>
      </w:r>
      <w:r w:rsidRPr="00D125EC">
        <w:rPr>
          <w:rFonts w:ascii="Arial" w:hAnsi="Arial" w:cs="Arial"/>
          <w:sz w:val="24"/>
          <w:szCs w:val="24"/>
        </w:rPr>
        <w:t xml:space="preserve"> </w:t>
      </w:r>
      <w:r w:rsidRPr="00D125EC">
        <w:rPr>
          <w:rFonts w:ascii="Arial" w:hAnsi="Arial" w:cs="Arial"/>
          <w:b/>
          <w:bCs/>
          <w:sz w:val="24"/>
          <w:szCs w:val="24"/>
        </w:rPr>
        <w:t xml:space="preserve">Energy Networks </w:t>
      </w:r>
      <w:r w:rsidRPr="00D125EC">
        <w:rPr>
          <w:rFonts w:ascii="Arial" w:hAnsi="Arial" w:cs="Arial"/>
          <w:sz w:val="24"/>
          <w:szCs w:val="24"/>
        </w:rPr>
        <w:t>which covers southern and central Scotland, north Wales and Merseyside;</w:t>
      </w:r>
    </w:p>
    <w:p w14:paraId="57E0A5EB" w14:textId="77777777" w:rsidR="00051A14" w:rsidRPr="00D125EC" w:rsidRDefault="00051A14" w:rsidP="00D125EC">
      <w:pPr>
        <w:pStyle w:val="ListParagraph"/>
        <w:numPr>
          <w:ilvl w:val="0"/>
          <w:numId w:val="34"/>
        </w:numPr>
        <w:spacing w:after="200" w:line="360" w:lineRule="auto"/>
        <w:rPr>
          <w:rFonts w:ascii="Arial" w:hAnsi="Arial" w:cs="Arial"/>
          <w:sz w:val="24"/>
          <w:szCs w:val="24"/>
        </w:rPr>
      </w:pPr>
      <w:r w:rsidRPr="00D125EC">
        <w:rPr>
          <w:rFonts w:ascii="Arial" w:hAnsi="Arial" w:cs="Arial"/>
          <w:b/>
          <w:bCs/>
          <w:sz w:val="24"/>
          <w:szCs w:val="24"/>
        </w:rPr>
        <w:t xml:space="preserve">Northern </w:t>
      </w:r>
      <w:proofErr w:type="spellStart"/>
      <w:r w:rsidRPr="00D125EC">
        <w:rPr>
          <w:rFonts w:ascii="Arial" w:hAnsi="Arial" w:cs="Arial"/>
          <w:b/>
          <w:bCs/>
          <w:sz w:val="24"/>
          <w:szCs w:val="24"/>
        </w:rPr>
        <w:t>Powergrid</w:t>
      </w:r>
      <w:proofErr w:type="spellEnd"/>
      <w:r w:rsidRPr="00D125EC">
        <w:rPr>
          <w:rFonts w:ascii="Arial" w:hAnsi="Arial" w:cs="Arial"/>
          <w:sz w:val="24"/>
          <w:szCs w:val="24"/>
        </w:rPr>
        <w:t xml:space="preserve"> which north-east England and Yorkshire;</w:t>
      </w:r>
    </w:p>
    <w:p w14:paraId="604A1012" w14:textId="06D8740E" w:rsidR="00051A14" w:rsidRPr="00D125EC" w:rsidRDefault="00051A14" w:rsidP="00D125EC">
      <w:pPr>
        <w:pStyle w:val="ListParagraph"/>
        <w:numPr>
          <w:ilvl w:val="0"/>
          <w:numId w:val="34"/>
        </w:numPr>
        <w:spacing w:after="200" w:line="360" w:lineRule="auto"/>
        <w:rPr>
          <w:rFonts w:ascii="Arial" w:hAnsi="Arial" w:cs="Arial"/>
          <w:sz w:val="24"/>
          <w:szCs w:val="24"/>
        </w:rPr>
      </w:pPr>
      <w:r w:rsidRPr="00D125EC">
        <w:rPr>
          <w:rFonts w:ascii="Arial" w:hAnsi="Arial" w:cs="Arial"/>
          <w:b/>
          <w:bCs/>
          <w:sz w:val="24"/>
          <w:szCs w:val="24"/>
        </w:rPr>
        <w:t xml:space="preserve">Electricity North West </w:t>
      </w:r>
      <w:r w:rsidRPr="00D125EC">
        <w:rPr>
          <w:rFonts w:ascii="Arial" w:hAnsi="Arial" w:cs="Arial"/>
          <w:sz w:val="24"/>
          <w:szCs w:val="24"/>
        </w:rPr>
        <w:t>which covers north-west England;</w:t>
      </w:r>
    </w:p>
    <w:p w14:paraId="14576B5E" w14:textId="38B9A71A" w:rsidR="00051A14" w:rsidRPr="00D125EC" w:rsidRDefault="00E51675" w:rsidP="00D125EC">
      <w:pPr>
        <w:pStyle w:val="ListParagraph"/>
        <w:numPr>
          <w:ilvl w:val="0"/>
          <w:numId w:val="34"/>
        </w:numPr>
        <w:spacing w:after="200" w:line="360" w:lineRule="auto"/>
        <w:rPr>
          <w:rFonts w:ascii="Arial" w:hAnsi="Arial" w:cs="Arial"/>
          <w:sz w:val="24"/>
          <w:szCs w:val="24"/>
        </w:rPr>
      </w:pPr>
      <w:r w:rsidRPr="00D125EC">
        <w:rPr>
          <w:rFonts w:ascii="Arial" w:hAnsi="Arial" w:cs="Arial"/>
          <w:b/>
          <w:bCs/>
          <w:sz w:val="24"/>
          <w:szCs w:val="24"/>
        </w:rPr>
        <w:lastRenderedPageBreak/>
        <w:t>National Grid Electricity Distribution</w:t>
      </w:r>
      <w:r w:rsidR="00051A14" w:rsidRPr="00D125EC">
        <w:rPr>
          <w:rFonts w:ascii="Arial" w:hAnsi="Arial" w:cs="Arial"/>
          <w:sz w:val="24"/>
          <w:szCs w:val="24"/>
        </w:rPr>
        <w:t xml:space="preserve"> which cover the midlands and south-west of England, and south Wales; and</w:t>
      </w:r>
    </w:p>
    <w:p w14:paraId="78BEAD0B" w14:textId="1A4B0FB0" w:rsidR="00051A14" w:rsidRPr="00D125EC" w:rsidRDefault="00051A14" w:rsidP="00D125EC">
      <w:pPr>
        <w:pStyle w:val="ListParagraph"/>
        <w:numPr>
          <w:ilvl w:val="0"/>
          <w:numId w:val="34"/>
        </w:numPr>
        <w:spacing w:after="200" w:line="360" w:lineRule="auto"/>
        <w:rPr>
          <w:rFonts w:ascii="Arial" w:hAnsi="Arial" w:cs="Arial"/>
          <w:sz w:val="24"/>
          <w:szCs w:val="24"/>
        </w:rPr>
      </w:pPr>
      <w:r w:rsidRPr="00D125EC">
        <w:rPr>
          <w:rFonts w:ascii="Arial" w:hAnsi="Arial" w:cs="Arial"/>
          <w:b/>
          <w:bCs/>
          <w:sz w:val="24"/>
          <w:szCs w:val="24"/>
        </w:rPr>
        <w:t xml:space="preserve">UK Power Networks </w:t>
      </w:r>
      <w:r w:rsidRPr="00D125EC">
        <w:rPr>
          <w:rFonts w:ascii="Arial" w:hAnsi="Arial" w:cs="Arial"/>
          <w:sz w:val="24"/>
          <w:szCs w:val="24"/>
        </w:rPr>
        <w:t>which covers London and the south-east and east of England.</w:t>
      </w:r>
    </w:p>
    <w:p w14:paraId="7E42FD43" w14:textId="6CF5B455" w:rsidR="002E7F13" w:rsidRPr="00D125EC" w:rsidRDefault="00051A14" w:rsidP="00D125EC">
      <w:pPr>
        <w:spacing w:line="360" w:lineRule="auto"/>
        <w:rPr>
          <w:rFonts w:ascii="Arial" w:hAnsi="Arial" w:cs="Arial"/>
          <w:sz w:val="24"/>
          <w:szCs w:val="24"/>
        </w:rPr>
      </w:pPr>
      <w:r w:rsidRPr="00D125EC">
        <w:rPr>
          <w:rFonts w:ascii="Arial" w:hAnsi="Arial" w:cs="Arial"/>
          <w:sz w:val="24"/>
          <w:szCs w:val="24"/>
        </w:rPr>
        <w:t xml:space="preserve">In Northern Ireland, </w:t>
      </w:r>
      <w:r w:rsidR="00301E6E" w:rsidRPr="00D125EC">
        <w:rPr>
          <w:rFonts w:ascii="Arial" w:hAnsi="Arial" w:cs="Arial"/>
          <w:sz w:val="24"/>
          <w:szCs w:val="24"/>
        </w:rPr>
        <w:t xml:space="preserve">NIE Networks </w:t>
      </w:r>
      <w:r w:rsidR="00CD52CD" w:rsidRPr="00D125EC">
        <w:rPr>
          <w:rFonts w:ascii="Arial" w:hAnsi="Arial" w:cs="Arial"/>
          <w:sz w:val="24"/>
          <w:szCs w:val="24"/>
        </w:rPr>
        <w:t xml:space="preserve">operates the electricity </w:t>
      </w:r>
      <w:r w:rsidR="00A83301" w:rsidRPr="00D125EC">
        <w:rPr>
          <w:rFonts w:ascii="Arial" w:hAnsi="Arial" w:cs="Arial"/>
          <w:sz w:val="24"/>
          <w:szCs w:val="24"/>
        </w:rPr>
        <w:t>distribution</w:t>
      </w:r>
      <w:r w:rsidR="00CD52CD" w:rsidRPr="00D125EC">
        <w:rPr>
          <w:rFonts w:ascii="Arial" w:hAnsi="Arial" w:cs="Arial"/>
          <w:sz w:val="24"/>
          <w:szCs w:val="24"/>
        </w:rPr>
        <w:t xml:space="preserve"> network</w:t>
      </w:r>
      <w:r w:rsidR="009757BE" w:rsidRPr="00D125EC">
        <w:rPr>
          <w:rFonts w:ascii="Arial" w:hAnsi="Arial" w:cs="Arial"/>
          <w:sz w:val="24"/>
          <w:szCs w:val="24"/>
        </w:rPr>
        <w:t xml:space="preserve"> (as well as owning the </w:t>
      </w:r>
      <w:r w:rsidR="007904EF" w:rsidRPr="00D125EC">
        <w:rPr>
          <w:rFonts w:ascii="Arial" w:hAnsi="Arial" w:cs="Arial"/>
          <w:sz w:val="24"/>
          <w:szCs w:val="24"/>
        </w:rPr>
        <w:t>electricity transmission and distribution networks)</w:t>
      </w:r>
      <w:r w:rsidR="00CD52CD" w:rsidRPr="00D125EC">
        <w:rPr>
          <w:rFonts w:ascii="Arial" w:hAnsi="Arial" w:cs="Arial"/>
          <w:sz w:val="24"/>
          <w:szCs w:val="24"/>
        </w:rPr>
        <w:t>.</w:t>
      </w:r>
    </w:p>
    <w:p w14:paraId="5988E69D" w14:textId="7DAB1A8D" w:rsidR="00051A14" w:rsidRPr="00D125EC" w:rsidRDefault="00051A14" w:rsidP="00D125EC">
      <w:pPr>
        <w:spacing w:line="360" w:lineRule="auto"/>
        <w:rPr>
          <w:rFonts w:ascii="Arial" w:eastAsiaTheme="majorEastAsia" w:hAnsi="Arial" w:cs="Arial"/>
          <w:b/>
          <w:sz w:val="24"/>
          <w:szCs w:val="24"/>
        </w:rPr>
      </w:pPr>
      <w:r w:rsidRPr="00D125EC">
        <w:rPr>
          <w:rFonts w:ascii="Arial" w:hAnsi="Arial" w:cs="Arial"/>
          <w:sz w:val="24"/>
          <w:szCs w:val="24"/>
        </w:rPr>
        <w:t xml:space="preserve">In recent years, DNOs are transitioning to become Distribution System Operators (DSOs) to take a systems approach towards network management. This will involve the use of data to enable better forward planning and more active network management. </w:t>
      </w:r>
    </w:p>
    <w:p w14:paraId="10BEDE33" w14:textId="2AF37305" w:rsidR="00693288" w:rsidRPr="00D125EC" w:rsidRDefault="00144F3A" w:rsidP="00A865F3">
      <w:pPr>
        <w:pStyle w:val="Heading1"/>
        <w:spacing w:line="276" w:lineRule="auto"/>
        <w:rPr>
          <w:rFonts w:ascii="Arial" w:hAnsi="Arial" w:cs="Arial"/>
        </w:rPr>
      </w:pPr>
      <w:bookmarkStart w:id="17" w:name="_Hlk197699665"/>
      <w:bookmarkStart w:id="18" w:name="_Toc198879228"/>
      <w:r>
        <w:rPr>
          <w:rFonts w:ascii="Arial" w:hAnsi="Arial" w:cs="Arial"/>
        </w:rPr>
        <w:t xml:space="preserve">5. </w:t>
      </w:r>
      <w:r w:rsidR="00C14025" w:rsidRPr="00D125EC">
        <w:rPr>
          <w:rFonts w:ascii="Arial" w:hAnsi="Arial" w:cs="Arial"/>
        </w:rPr>
        <w:t>Consenting</w:t>
      </w:r>
      <w:r w:rsidR="00703748" w:rsidRPr="00D125EC">
        <w:rPr>
          <w:rFonts w:ascii="Arial" w:hAnsi="Arial" w:cs="Arial"/>
        </w:rPr>
        <w:t xml:space="preserve"> </w:t>
      </w:r>
      <w:bookmarkEnd w:id="17"/>
      <w:r w:rsidR="00693288" w:rsidRPr="00D125EC">
        <w:rPr>
          <w:rFonts w:ascii="Arial" w:hAnsi="Arial" w:cs="Arial"/>
        </w:rPr>
        <w:t xml:space="preserve">regimes in England </w:t>
      </w:r>
      <w:bookmarkEnd w:id="18"/>
    </w:p>
    <w:p w14:paraId="055EFF22" w14:textId="0F51C70A"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England, larger</w:t>
      </w:r>
      <w:r w:rsidR="00745E56" w:rsidRPr="00D125EC">
        <w:rPr>
          <w:rFonts w:ascii="Arial" w:hAnsi="Arial" w:cs="Arial"/>
          <w:sz w:val="24"/>
          <w:szCs w:val="24"/>
        </w:rPr>
        <w:t xml:space="preserve"> energy</w:t>
      </w:r>
      <w:r w:rsidRPr="00D125EC">
        <w:rPr>
          <w:rFonts w:ascii="Arial" w:hAnsi="Arial" w:cs="Arial"/>
          <w:sz w:val="24"/>
          <w:szCs w:val="24"/>
        </w:rPr>
        <w:t xml:space="preserve"> projects are determined through the Nationally Significant Infrastructure Projects (NSIPs) regime, while smaller projects go through provisions set out in the Town and Country Planning Act</w:t>
      </w:r>
      <w:r w:rsidR="00891D04" w:rsidRPr="00D125EC">
        <w:rPr>
          <w:rFonts w:ascii="Arial" w:hAnsi="Arial" w:cs="Arial"/>
          <w:sz w:val="24"/>
          <w:szCs w:val="24"/>
        </w:rPr>
        <w:t xml:space="preserve"> 1990</w:t>
      </w:r>
      <w:r w:rsidRPr="00D125EC">
        <w:rPr>
          <w:rFonts w:ascii="Arial" w:hAnsi="Arial" w:cs="Arial"/>
          <w:sz w:val="24"/>
          <w:szCs w:val="24"/>
        </w:rPr>
        <w:t xml:space="preserve">. </w:t>
      </w:r>
    </w:p>
    <w:p w14:paraId="286E5C19" w14:textId="7EA28BBA" w:rsidR="00693288" w:rsidRPr="00D125EC" w:rsidRDefault="00F70C60" w:rsidP="008209E1">
      <w:pPr>
        <w:pStyle w:val="Heading2"/>
        <w:rPr>
          <w:rFonts w:ascii="Arial" w:hAnsi="Arial" w:cs="Arial"/>
        </w:rPr>
      </w:pPr>
      <w:bookmarkStart w:id="19" w:name="_Toc198879229"/>
      <w:r>
        <w:rPr>
          <w:rFonts w:ascii="Arial" w:hAnsi="Arial" w:cs="Arial"/>
        </w:rPr>
        <w:t xml:space="preserve">5.1 </w:t>
      </w:r>
      <w:r w:rsidR="00693288" w:rsidRPr="00D125EC">
        <w:rPr>
          <w:rFonts w:ascii="Arial" w:hAnsi="Arial" w:cs="Arial"/>
        </w:rPr>
        <w:t>Nationally Significant Infrastructure Projects</w:t>
      </w:r>
      <w:bookmarkEnd w:id="19"/>
      <w:r w:rsidR="00693288" w:rsidRPr="00D125EC">
        <w:rPr>
          <w:rFonts w:ascii="Arial" w:hAnsi="Arial" w:cs="Arial"/>
        </w:rPr>
        <w:t xml:space="preserve"> </w:t>
      </w:r>
    </w:p>
    <w:p w14:paraId="4C1E77FF" w14:textId="0DD678FE" w:rsidR="009E0240" w:rsidRPr="00D125EC" w:rsidRDefault="00693288" w:rsidP="00D125EC">
      <w:pPr>
        <w:spacing w:line="360" w:lineRule="auto"/>
        <w:rPr>
          <w:rFonts w:ascii="Arial" w:hAnsi="Arial" w:cs="Arial"/>
          <w:sz w:val="24"/>
          <w:szCs w:val="24"/>
        </w:rPr>
      </w:pPr>
      <w:r w:rsidRPr="00D125EC">
        <w:rPr>
          <w:rFonts w:ascii="Arial" w:hAnsi="Arial" w:cs="Arial"/>
          <w:sz w:val="24"/>
          <w:szCs w:val="24"/>
        </w:rPr>
        <w:t>The NSIP regime was created under the Planning Act 2008. At its heart are a set of National Policy Statements (NPSs) that lay out England’s needs for infrastructure, how applications will be assessed and the ways in which impacts and mitigations will be judged. The Energy NPS</w:t>
      </w:r>
      <w:r w:rsidR="009B7EC1" w:rsidRPr="00D125EC">
        <w:rPr>
          <w:rFonts w:ascii="Arial" w:hAnsi="Arial" w:cs="Arial"/>
          <w:sz w:val="24"/>
          <w:szCs w:val="24"/>
        </w:rPr>
        <w:t xml:space="preserve"> </w:t>
      </w:r>
      <w:hyperlink r:id="rId19" w:anchor="full-publication-update-history" w:history="1">
        <w:r w:rsidR="009B7EC1" w:rsidRPr="00D125EC">
          <w:rPr>
            <w:rStyle w:val="Hyperlink"/>
            <w:rFonts w:ascii="Arial" w:hAnsi="Arial" w:cs="Arial"/>
            <w:sz w:val="24"/>
            <w:szCs w:val="24"/>
          </w:rPr>
          <w:t>(DESNZ, 2023)</w:t>
        </w:r>
      </w:hyperlink>
      <w:r w:rsidR="009B7EC1" w:rsidRPr="00D125EC">
        <w:rPr>
          <w:rFonts w:ascii="Arial" w:hAnsi="Arial" w:cs="Arial"/>
          <w:sz w:val="24"/>
          <w:szCs w:val="24"/>
        </w:rPr>
        <w:t xml:space="preserve"> </w:t>
      </w:r>
      <w:r w:rsidRPr="00D125EC">
        <w:rPr>
          <w:rFonts w:ascii="Arial" w:hAnsi="Arial" w:cs="Arial"/>
          <w:sz w:val="24"/>
          <w:szCs w:val="24"/>
        </w:rPr>
        <w:t>was last updated in January 2024</w:t>
      </w:r>
      <w:r w:rsidR="00B04005" w:rsidRPr="00D125EC">
        <w:rPr>
          <w:rFonts w:ascii="Arial" w:hAnsi="Arial" w:cs="Arial"/>
          <w:sz w:val="24"/>
          <w:szCs w:val="24"/>
        </w:rPr>
        <w:t>. H</w:t>
      </w:r>
      <w:r w:rsidR="00DD6A81" w:rsidRPr="00D125EC">
        <w:rPr>
          <w:rFonts w:ascii="Arial" w:hAnsi="Arial" w:cs="Arial"/>
          <w:sz w:val="24"/>
          <w:szCs w:val="24"/>
        </w:rPr>
        <w:t xml:space="preserve">owever, </w:t>
      </w:r>
      <w:r w:rsidR="001D2E47" w:rsidRPr="00D125EC">
        <w:rPr>
          <w:rFonts w:ascii="Arial" w:hAnsi="Arial" w:cs="Arial"/>
          <w:sz w:val="24"/>
          <w:szCs w:val="24"/>
        </w:rPr>
        <w:t xml:space="preserve">DESNZ consulted on </w:t>
      </w:r>
      <w:r w:rsidR="00E22E8E" w:rsidRPr="00D125EC">
        <w:rPr>
          <w:rFonts w:ascii="Arial" w:hAnsi="Arial" w:cs="Arial"/>
          <w:sz w:val="24"/>
          <w:szCs w:val="24"/>
        </w:rPr>
        <w:t xml:space="preserve">revising the </w:t>
      </w:r>
      <w:r w:rsidR="00B04005" w:rsidRPr="00D125EC">
        <w:rPr>
          <w:rFonts w:ascii="Arial" w:hAnsi="Arial" w:cs="Arial"/>
          <w:sz w:val="24"/>
          <w:szCs w:val="24"/>
        </w:rPr>
        <w:t xml:space="preserve">Energy NPS </w:t>
      </w:r>
      <w:r w:rsidR="001D2E47" w:rsidRPr="00D125EC">
        <w:rPr>
          <w:rFonts w:ascii="Arial" w:hAnsi="Arial" w:cs="Arial"/>
          <w:sz w:val="24"/>
          <w:szCs w:val="24"/>
        </w:rPr>
        <w:t>from 24 April 2025 to 29 May</w:t>
      </w:r>
      <w:r w:rsidR="00B04005" w:rsidRPr="00D125EC">
        <w:rPr>
          <w:rFonts w:ascii="Arial" w:hAnsi="Arial" w:cs="Arial"/>
          <w:sz w:val="24"/>
          <w:szCs w:val="24"/>
        </w:rPr>
        <w:t>, suggesting that further changes may be imminent</w:t>
      </w:r>
      <w:r w:rsidR="00A05C77" w:rsidRPr="00D125EC">
        <w:rPr>
          <w:rFonts w:ascii="Arial" w:hAnsi="Arial" w:cs="Arial"/>
          <w:sz w:val="24"/>
          <w:szCs w:val="24"/>
        </w:rPr>
        <w:t>, particularly in relation to onshore wind</w:t>
      </w:r>
      <w:r w:rsidR="00B04005" w:rsidRPr="00D125EC">
        <w:rPr>
          <w:rFonts w:ascii="Arial" w:hAnsi="Arial" w:cs="Arial"/>
          <w:sz w:val="24"/>
          <w:szCs w:val="24"/>
        </w:rPr>
        <w:t xml:space="preserve"> </w:t>
      </w:r>
      <w:hyperlink r:id="rId20" w:history="1">
        <w:r w:rsidR="00B04005" w:rsidRPr="00D125EC">
          <w:rPr>
            <w:rStyle w:val="Hyperlink"/>
            <w:rFonts w:ascii="Arial" w:hAnsi="Arial" w:cs="Arial"/>
            <w:sz w:val="24"/>
            <w:szCs w:val="24"/>
          </w:rPr>
          <w:t>(DESNZ, 2025)</w:t>
        </w:r>
      </w:hyperlink>
      <w:r w:rsidRPr="00D125EC">
        <w:rPr>
          <w:rFonts w:ascii="Arial" w:hAnsi="Arial" w:cs="Arial"/>
          <w:sz w:val="24"/>
          <w:szCs w:val="24"/>
        </w:rPr>
        <w:t>.</w:t>
      </w:r>
    </w:p>
    <w:p w14:paraId="2CCFED05" w14:textId="57D69A91" w:rsidR="00693288" w:rsidRPr="00D125EC" w:rsidRDefault="00C464BA" w:rsidP="00D125EC">
      <w:pPr>
        <w:spacing w:line="360" w:lineRule="auto"/>
        <w:rPr>
          <w:rFonts w:ascii="Arial" w:hAnsi="Arial" w:cs="Arial"/>
          <w:sz w:val="24"/>
          <w:szCs w:val="24"/>
        </w:rPr>
      </w:pPr>
      <w:r w:rsidRPr="00D125EC">
        <w:rPr>
          <w:rFonts w:ascii="Arial" w:hAnsi="Arial" w:cs="Arial"/>
          <w:sz w:val="24"/>
          <w:szCs w:val="24"/>
        </w:rPr>
        <w:t>Once the</w:t>
      </w:r>
      <w:r w:rsidR="00693288" w:rsidRPr="00D125EC">
        <w:rPr>
          <w:rFonts w:ascii="Arial" w:hAnsi="Arial" w:cs="Arial"/>
          <w:sz w:val="24"/>
          <w:szCs w:val="24"/>
        </w:rPr>
        <w:t xml:space="preserve"> Planning and Infrastructure Bill</w:t>
      </w:r>
      <w:r w:rsidRPr="00D125EC">
        <w:rPr>
          <w:rFonts w:ascii="Arial" w:hAnsi="Arial" w:cs="Arial"/>
          <w:sz w:val="24"/>
          <w:szCs w:val="24"/>
        </w:rPr>
        <w:t xml:space="preserve"> </w:t>
      </w:r>
      <w:hyperlink r:id="rId21">
        <w:r w:rsidRPr="00D125EC">
          <w:rPr>
            <w:rStyle w:val="Hyperlink"/>
            <w:rFonts w:ascii="Arial" w:hAnsi="Arial" w:cs="Arial"/>
            <w:sz w:val="24"/>
            <w:szCs w:val="24"/>
          </w:rPr>
          <w:t>(House of Commons, 2025)</w:t>
        </w:r>
      </w:hyperlink>
      <w:r w:rsidRPr="00D125EC">
        <w:rPr>
          <w:rFonts w:ascii="Arial" w:hAnsi="Arial" w:cs="Arial"/>
          <w:sz w:val="24"/>
          <w:szCs w:val="24"/>
        </w:rPr>
        <w:t xml:space="preserve">  gains royal assent</w:t>
      </w:r>
      <w:r w:rsidR="00693288" w:rsidRPr="00D125EC">
        <w:rPr>
          <w:rFonts w:ascii="Arial" w:hAnsi="Arial" w:cs="Arial"/>
          <w:sz w:val="24"/>
          <w:szCs w:val="24"/>
        </w:rPr>
        <w:t>,</w:t>
      </w:r>
      <w:r w:rsidR="5E9A85C2" w:rsidRPr="00D125EC">
        <w:rPr>
          <w:rFonts w:ascii="Arial" w:hAnsi="Arial" w:cs="Arial"/>
          <w:sz w:val="24"/>
          <w:szCs w:val="24"/>
        </w:rPr>
        <w:t xml:space="preserve"> likely to be in 2025,</w:t>
      </w:r>
      <w:r w:rsidR="00693288" w:rsidRPr="00D125EC">
        <w:rPr>
          <w:rFonts w:ascii="Arial" w:hAnsi="Arial" w:cs="Arial"/>
          <w:sz w:val="24"/>
          <w:szCs w:val="24"/>
        </w:rPr>
        <w:t xml:space="preserve"> it is expected that all NPSs will be updated every five years.</w:t>
      </w:r>
    </w:p>
    <w:p w14:paraId="3FC4ACA9" w14:textId="05AC66C1"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Electricity generation projects that exceed the thresholds set out </w:t>
      </w:r>
      <w:r w:rsidR="00FC0BFA" w:rsidRPr="00D125EC">
        <w:rPr>
          <w:rFonts w:ascii="Arial" w:hAnsi="Arial" w:cs="Arial"/>
          <w:sz w:val="24"/>
          <w:szCs w:val="24"/>
        </w:rPr>
        <w:t xml:space="preserve">in the list </w:t>
      </w:r>
      <w:r w:rsidRPr="00D125EC">
        <w:rPr>
          <w:rFonts w:ascii="Arial" w:hAnsi="Arial" w:cs="Arial"/>
          <w:sz w:val="24"/>
          <w:szCs w:val="24"/>
        </w:rPr>
        <w:t xml:space="preserve">below are considered under the NSIP regime. </w:t>
      </w:r>
    </w:p>
    <w:p w14:paraId="1EC80C79" w14:textId="77777777" w:rsidR="00FC0BFA" w:rsidRPr="00D125EC" w:rsidRDefault="00FC0BFA"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Biomass - 50MW</w:t>
      </w:r>
    </w:p>
    <w:p w14:paraId="021DEC14" w14:textId="5776583C" w:rsidR="00FC0BFA" w:rsidRPr="00D125EC" w:rsidRDefault="00FC0BFA"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Pumped hydro storage - 50MW</w:t>
      </w:r>
    </w:p>
    <w:p w14:paraId="4B3ECC20" w14:textId="7473DF6F" w:rsidR="00FC0BFA" w:rsidRPr="00D125EC" w:rsidRDefault="00FC0BFA"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 xml:space="preserve">Solar Photovoltaic - 100MW </w:t>
      </w:r>
    </w:p>
    <w:p w14:paraId="78707B03" w14:textId="124CE977" w:rsidR="00FC0BFA" w:rsidRPr="00D125EC" w:rsidRDefault="00FC0BFA"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lastRenderedPageBreak/>
        <w:t>Onshore Wind - 100MW</w:t>
      </w:r>
    </w:p>
    <w:p w14:paraId="73743746" w14:textId="727F3AB0" w:rsidR="00FC0BFA" w:rsidRPr="00D125EC" w:rsidRDefault="00FC0BFA"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Offshore wind</w:t>
      </w:r>
      <w:r w:rsidRPr="00D125EC">
        <w:rPr>
          <w:rFonts w:ascii="Arial" w:hAnsi="Arial" w:cs="Arial"/>
          <w:sz w:val="24"/>
          <w:szCs w:val="24"/>
        </w:rPr>
        <w:tab/>
        <w:t>- 100MW</w:t>
      </w:r>
    </w:p>
    <w:p w14:paraId="350FA134" w14:textId="7672AF6C" w:rsidR="00FC0BFA" w:rsidRPr="00D125EC" w:rsidRDefault="00FC0BFA" w:rsidP="00D125EC">
      <w:pPr>
        <w:pStyle w:val="ListParagraph"/>
        <w:numPr>
          <w:ilvl w:val="0"/>
          <w:numId w:val="19"/>
        </w:numPr>
        <w:spacing w:line="360" w:lineRule="auto"/>
        <w:rPr>
          <w:rFonts w:ascii="Arial" w:hAnsi="Arial" w:cs="Arial"/>
          <w:sz w:val="24"/>
          <w:szCs w:val="24"/>
        </w:rPr>
      </w:pPr>
      <w:r w:rsidRPr="00D125EC">
        <w:rPr>
          <w:rFonts w:ascii="Arial" w:hAnsi="Arial" w:cs="Arial"/>
          <w:sz w:val="24"/>
          <w:szCs w:val="24"/>
        </w:rPr>
        <w:t>Tidal - 100MW</w:t>
      </w:r>
    </w:p>
    <w:p w14:paraId="04F1BA78" w14:textId="061561CD"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For transmission infrastructure, the thresholds are set out in EN-5: National Policy Statement for Electricity Networks Infrastructure</w:t>
      </w:r>
      <w:r w:rsidR="00DE0B0C" w:rsidRPr="00D125EC">
        <w:rPr>
          <w:rFonts w:ascii="Arial" w:hAnsi="Arial" w:cs="Arial"/>
          <w:sz w:val="24"/>
          <w:szCs w:val="24"/>
        </w:rPr>
        <w:t xml:space="preserve"> </w:t>
      </w:r>
      <w:hyperlink r:id="rId22" w:history="1">
        <w:r w:rsidR="00DE0B0C" w:rsidRPr="00D125EC">
          <w:rPr>
            <w:rStyle w:val="Hyperlink"/>
            <w:rFonts w:ascii="Arial" w:hAnsi="Arial" w:cs="Arial"/>
            <w:sz w:val="24"/>
            <w:szCs w:val="24"/>
          </w:rPr>
          <w:t>(DESNZ, 2024)</w:t>
        </w:r>
      </w:hyperlink>
      <w:r w:rsidRPr="00D125EC">
        <w:rPr>
          <w:rFonts w:ascii="Arial" w:hAnsi="Arial" w:cs="Arial"/>
          <w:sz w:val="24"/>
          <w:szCs w:val="24"/>
        </w:rPr>
        <w:t xml:space="preserve">. </w:t>
      </w:r>
    </w:p>
    <w:p w14:paraId="488B4185" w14:textId="7D5597DD"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For an energy NSIP, the final decision is made by the Secretary of State for Energy and Climate Change following an examination process and recommendation by the Planning Inspectorate. Local </w:t>
      </w:r>
      <w:r w:rsidR="0002589F" w:rsidRPr="00D125EC">
        <w:rPr>
          <w:rFonts w:ascii="Arial" w:hAnsi="Arial" w:cs="Arial"/>
          <w:sz w:val="24"/>
          <w:szCs w:val="24"/>
        </w:rPr>
        <w:t>a</w:t>
      </w:r>
      <w:r w:rsidRPr="00D125EC">
        <w:rPr>
          <w:rFonts w:ascii="Arial" w:hAnsi="Arial" w:cs="Arial"/>
          <w:sz w:val="24"/>
          <w:szCs w:val="24"/>
        </w:rPr>
        <w:t xml:space="preserve">uthorities are statutory consultees in the process and they are required to produce a Local Impact Report to inform the examination process. </w:t>
      </w:r>
    </w:p>
    <w:p w14:paraId="215D6070" w14:textId="6CD4EB14" w:rsidR="00693288" w:rsidRPr="00D125EC" w:rsidRDefault="00F70C60" w:rsidP="008209E1">
      <w:pPr>
        <w:pStyle w:val="Heading2"/>
        <w:rPr>
          <w:rFonts w:ascii="Arial" w:hAnsi="Arial" w:cs="Arial"/>
        </w:rPr>
      </w:pPr>
      <w:bookmarkStart w:id="20" w:name="_Toc198879230"/>
      <w:r>
        <w:rPr>
          <w:rFonts w:ascii="Arial" w:hAnsi="Arial" w:cs="Arial"/>
        </w:rPr>
        <w:t xml:space="preserve">5.2 </w:t>
      </w:r>
      <w:r w:rsidR="00693288" w:rsidRPr="00D125EC">
        <w:rPr>
          <w:rFonts w:ascii="Arial" w:hAnsi="Arial" w:cs="Arial"/>
        </w:rPr>
        <w:t>Town and Country Planning Act</w:t>
      </w:r>
      <w:r w:rsidR="006771D0" w:rsidRPr="00D125EC">
        <w:rPr>
          <w:rFonts w:ascii="Arial" w:hAnsi="Arial" w:cs="Arial"/>
        </w:rPr>
        <w:t xml:space="preserve"> 1990</w:t>
      </w:r>
      <w:bookmarkEnd w:id="20"/>
    </w:p>
    <w:p w14:paraId="1649695A" w14:textId="3C984116"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Smaller projects</w:t>
      </w:r>
      <w:r w:rsidR="00281524" w:rsidRPr="00D125EC">
        <w:rPr>
          <w:rFonts w:ascii="Arial" w:hAnsi="Arial" w:cs="Arial"/>
          <w:sz w:val="24"/>
          <w:szCs w:val="24"/>
        </w:rPr>
        <w:t>,</w:t>
      </w:r>
      <w:r w:rsidR="00542031" w:rsidRPr="00D125EC">
        <w:rPr>
          <w:rFonts w:ascii="Arial" w:hAnsi="Arial" w:cs="Arial"/>
          <w:sz w:val="24"/>
          <w:szCs w:val="24"/>
        </w:rPr>
        <w:t xml:space="preserve"> that fall</w:t>
      </w:r>
      <w:r w:rsidRPr="00D125EC">
        <w:rPr>
          <w:rFonts w:ascii="Arial" w:hAnsi="Arial" w:cs="Arial"/>
          <w:sz w:val="24"/>
          <w:szCs w:val="24"/>
        </w:rPr>
        <w:t xml:space="preserve"> below the NSIP thresholds</w:t>
      </w:r>
      <w:r w:rsidR="00542031" w:rsidRPr="00D125EC">
        <w:rPr>
          <w:rFonts w:ascii="Arial" w:hAnsi="Arial" w:cs="Arial"/>
          <w:sz w:val="24"/>
          <w:szCs w:val="24"/>
        </w:rPr>
        <w:t>,</w:t>
      </w:r>
      <w:r w:rsidRPr="00D125EC">
        <w:rPr>
          <w:rFonts w:ascii="Arial" w:hAnsi="Arial" w:cs="Arial"/>
          <w:sz w:val="24"/>
          <w:szCs w:val="24"/>
        </w:rPr>
        <w:t xml:space="preserve"> will be determined by the relevant </w:t>
      </w:r>
      <w:r w:rsidR="00281524" w:rsidRPr="00D125EC">
        <w:rPr>
          <w:rFonts w:ascii="Arial" w:hAnsi="Arial" w:cs="Arial"/>
          <w:sz w:val="24"/>
          <w:szCs w:val="24"/>
        </w:rPr>
        <w:t>l</w:t>
      </w:r>
      <w:r w:rsidRPr="00D125EC">
        <w:rPr>
          <w:rFonts w:ascii="Arial" w:hAnsi="Arial" w:cs="Arial"/>
          <w:sz w:val="24"/>
          <w:szCs w:val="24"/>
        </w:rPr>
        <w:t xml:space="preserve">ocal </w:t>
      </w:r>
      <w:r w:rsidR="00281524" w:rsidRPr="00D125EC">
        <w:rPr>
          <w:rFonts w:ascii="Arial" w:hAnsi="Arial" w:cs="Arial"/>
          <w:sz w:val="24"/>
          <w:szCs w:val="24"/>
        </w:rPr>
        <w:t>p</w:t>
      </w:r>
      <w:r w:rsidRPr="00D125EC">
        <w:rPr>
          <w:rFonts w:ascii="Arial" w:hAnsi="Arial" w:cs="Arial"/>
          <w:sz w:val="24"/>
          <w:szCs w:val="24"/>
        </w:rPr>
        <w:t xml:space="preserve">lanning </w:t>
      </w:r>
      <w:r w:rsidR="00281524" w:rsidRPr="00D125EC">
        <w:rPr>
          <w:rFonts w:ascii="Arial" w:hAnsi="Arial" w:cs="Arial"/>
          <w:sz w:val="24"/>
          <w:szCs w:val="24"/>
        </w:rPr>
        <w:t xml:space="preserve">authorities </w:t>
      </w:r>
      <w:r w:rsidRPr="00D125EC">
        <w:rPr>
          <w:rFonts w:ascii="Arial" w:hAnsi="Arial" w:cs="Arial"/>
          <w:sz w:val="24"/>
          <w:szCs w:val="24"/>
        </w:rPr>
        <w:t xml:space="preserve">through </w:t>
      </w:r>
      <w:r w:rsidR="008237BE" w:rsidRPr="00D125EC">
        <w:rPr>
          <w:rFonts w:ascii="Arial" w:hAnsi="Arial" w:cs="Arial"/>
          <w:sz w:val="24"/>
          <w:szCs w:val="24"/>
        </w:rPr>
        <w:t>the regime anchored in the</w:t>
      </w:r>
      <w:r w:rsidRPr="00D125EC">
        <w:rPr>
          <w:rFonts w:ascii="Arial" w:hAnsi="Arial" w:cs="Arial"/>
          <w:sz w:val="24"/>
          <w:szCs w:val="24"/>
        </w:rPr>
        <w:t xml:space="preserve"> Town and Country Planning Act</w:t>
      </w:r>
      <w:r w:rsidR="00281524" w:rsidRPr="00D125EC">
        <w:rPr>
          <w:rFonts w:ascii="Arial" w:hAnsi="Arial" w:cs="Arial"/>
          <w:sz w:val="24"/>
          <w:szCs w:val="24"/>
        </w:rPr>
        <w:t xml:space="preserve"> 199</w:t>
      </w:r>
      <w:r w:rsidR="008237BE" w:rsidRPr="00D125EC">
        <w:rPr>
          <w:rFonts w:ascii="Arial" w:hAnsi="Arial" w:cs="Arial"/>
          <w:sz w:val="24"/>
          <w:szCs w:val="24"/>
        </w:rPr>
        <w:t>0</w:t>
      </w:r>
      <w:r w:rsidRPr="00D125EC">
        <w:rPr>
          <w:rFonts w:ascii="Arial" w:hAnsi="Arial" w:cs="Arial"/>
          <w:sz w:val="24"/>
          <w:szCs w:val="24"/>
        </w:rPr>
        <w:t xml:space="preserve">. The decision will be informed by the National Planning Policy Framework (NPPF). Chapter 14 of the NPPF – </w:t>
      </w:r>
      <w:r w:rsidR="00BA41A9" w:rsidRPr="00D125EC">
        <w:rPr>
          <w:rFonts w:ascii="Arial" w:hAnsi="Arial" w:cs="Arial"/>
          <w:sz w:val="24"/>
          <w:szCs w:val="24"/>
        </w:rPr>
        <w:t>‘</w:t>
      </w:r>
      <w:r w:rsidRPr="00D125EC">
        <w:rPr>
          <w:rFonts w:ascii="Arial" w:hAnsi="Arial" w:cs="Arial"/>
          <w:sz w:val="24"/>
          <w:szCs w:val="24"/>
        </w:rPr>
        <w:t>Meeting the challenge of climate change, flooding and coastal change</w:t>
      </w:r>
      <w:r w:rsidR="00BA41A9" w:rsidRPr="00D125EC">
        <w:rPr>
          <w:rFonts w:ascii="Arial" w:hAnsi="Arial" w:cs="Arial"/>
          <w:sz w:val="24"/>
          <w:szCs w:val="24"/>
        </w:rPr>
        <w:t>’</w:t>
      </w:r>
      <w:r w:rsidRPr="00D125EC">
        <w:rPr>
          <w:rFonts w:ascii="Arial" w:hAnsi="Arial" w:cs="Arial"/>
          <w:sz w:val="24"/>
          <w:szCs w:val="24"/>
        </w:rPr>
        <w:t xml:space="preserve"> – is particularly relevant to energy projects. </w:t>
      </w:r>
    </w:p>
    <w:p w14:paraId="195B722C" w14:textId="074BC6B9"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Paragraph 168 of the NPPF </w:t>
      </w:r>
      <w:r w:rsidR="00BF6BD5" w:rsidRPr="00D125EC">
        <w:rPr>
          <w:rFonts w:ascii="Arial" w:hAnsi="Arial" w:cs="Arial"/>
          <w:sz w:val="24"/>
          <w:szCs w:val="24"/>
        </w:rPr>
        <w:t xml:space="preserve">(as of 26/03/2025) </w:t>
      </w:r>
      <w:r w:rsidRPr="00D125EC">
        <w:rPr>
          <w:rFonts w:ascii="Arial" w:hAnsi="Arial" w:cs="Arial"/>
          <w:sz w:val="24"/>
          <w:szCs w:val="24"/>
        </w:rPr>
        <w:t>concerns how planning applications for renewable and low carbon energy developments and their associated infrastructure should be determined. It states that local planning authorities should:</w:t>
      </w:r>
    </w:p>
    <w:p w14:paraId="6437B89B" w14:textId="3568817F" w:rsidR="00693288" w:rsidRPr="00D125EC" w:rsidRDefault="00693288" w:rsidP="00D125EC">
      <w:pPr>
        <w:pStyle w:val="ListParagraph"/>
        <w:numPr>
          <w:ilvl w:val="0"/>
          <w:numId w:val="22"/>
        </w:numPr>
        <w:spacing w:line="360" w:lineRule="auto"/>
        <w:rPr>
          <w:rFonts w:ascii="Arial" w:hAnsi="Arial" w:cs="Arial"/>
          <w:sz w:val="24"/>
          <w:szCs w:val="24"/>
        </w:rPr>
      </w:pPr>
      <w:r w:rsidRPr="00D125EC">
        <w:rPr>
          <w:rFonts w:ascii="Arial" w:hAnsi="Arial" w:cs="Arial"/>
          <w:sz w:val="24"/>
          <w:szCs w:val="24"/>
        </w:rPr>
        <w:t>Not require applicants to demonstrate the overall need for renewable or low carbon energy, and give significant weight to the benefits associated with renewable and low carbon energy generation and the proposal’s contribution to a net zero future</w:t>
      </w:r>
      <w:r w:rsidR="00D35F6E" w:rsidRPr="00D125EC">
        <w:rPr>
          <w:rFonts w:ascii="Arial" w:hAnsi="Arial" w:cs="Arial"/>
          <w:sz w:val="24"/>
          <w:szCs w:val="24"/>
        </w:rPr>
        <w:t>;</w:t>
      </w:r>
    </w:p>
    <w:p w14:paraId="48B1FC1B" w14:textId="56F6DFEE" w:rsidR="00693288" w:rsidRPr="00D125EC" w:rsidRDefault="00693288" w:rsidP="00D125EC">
      <w:pPr>
        <w:pStyle w:val="ListParagraph"/>
        <w:numPr>
          <w:ilvl w:val="0"/>
          <w:numId w:val="22"/>
        </w:numPr>
        <w:spacing w:line="360" w:lineRule="auto"/>
        <w:rPr>
          <w:rFonts w:ascii="Arial" w:hAnsi="Arial" w:cs="Arial"/>
          <w:sz w:val="24"/>
          <w:szCs w:val="24"/>
        </w:rPr>
      </w:pPr>
      <w:r w:rsidRPr="00D125EC">
        <w:rPr>
          <w:rFonts w:ascii="Arial" w:hAnsi="Arial" w:cs="Arial"/>
          <w:sz w:val="24"/>
          <w:szCs w:val="24"/>
        </w:rPr>
        <w:t>Recognise that small-scale and community-led projects provide a valuable contribution to cutting greenhouse gas emissions;</w:t>
      </w:r>
      <w:r w:rsidR="00D35F6E" w:rsidRPr="00D125EC">
        <w:rPr>
          <w:rFonts w:ascii="Arial" w:hAnsi="Arial" w:cs="Arial"/>
          <w:sz w:val="24"/>
          <w:szCs w:val="24"/>
        </w:rPr>
        <w:t xml:space="preserve"> and</w:t>
      </w:r>
    </w:p>
    <w:p w14:paraId="6F2183ED" w14:textId="77777777" w:rsidR="00693288" w:rsidRPr="00D125EC" w:rsidRDefault="00693288" w:rsidP="00D125EC">
      <w:pPr>
        <w:pStyle w:val="ListParagraph"/>
        <w:numPr>
          <w:ilvl w:val="0"/>
          <w:numId w:val="22"/>
        </w:numPr>
        <w:spacing w:line="360" w:lineRule="auto"/>
        <w:rPr>
          <w:rFonts w:ascii="Arial" w:hAnsi="Arial" w:cs="Arial"/>
          <w:sz w:val="24"/>
          <w:szCs w:val="24"/>
        </w:rPr>
      </w:pPr>
      <w:r w:rsidRPr="00D125EC">
        <w:rPr>
          <w:rFonts w:ascii="Arial" w:hAnsi="Arial" w:cs="Arial"/>
          <w:sz w:val="24"/>
          <w:szCs w:val="24"/>
        </w:rPr>
        <w:t>In the case of applications for the repowering and life-extension of existing renewable sites, give significant weight to the benefits of utilising an established site.</w:t>
      </w:r>
    </w:p>
    <w:p w14:paraId="73CF1F6B" w14:textId="4B86167A"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2024, a footnote in the NPPF that had previously imposed a de-facto ban on onshore wind development was removed. Since then, the government has</w:t>
      </w:r>
      <w:r w:rsidR="00C27316" w:rsidRPr="00D125EC">
        <w:rPr>
          <w:rFonts w:ascii="Arial" w:hAnsi="Arial" w:cs="Arial"/>
          <w:sz w:val="24"/>
          <w:szCs w:val="24"/>
        </w:rPr>
        <w:t xml:space="preserve"> also</w:t>
      </w:r>
      <w:r w:rsidRPr="00D125EC">
        <w:rPr>
          <w:rFonts w:ascii="Arial" w:hAnsi="Arial" w:cs="Arial"/>
          <w:sz w:val="24"/>
          <w:szCs w:val="24"/>
        </w:rPr>
        <w:t xml:space="preserve"> </w:t>
      </w:r>
      <w:r w:rsidR="00EC784A" w:rsidRPr="00D125EC">
        <w:rPr>
          <w:rFonts w:ascii="Arial" w:hAnsi="Arial" w:cs="Arial"/>
          <w:sz w:val="24"/>
          <w:szCs w:val="24"/>
        </w:rPr>
        <w:lastRenderedPageBreak/>
        <w:t>taken steps to reintroduce onshore wind to the NSIP regime</w:t>
      </w:r>
      <w:r w:rsidR="0077548F" w:rsidRPr="00D125EC">
        <w:rPr>
          <w:rFonts w:ascii="Arial" w:hAnsi="Arial" w:cs="Arial"/>
          <w:sz w:val="24"/>
          <w:szCs w:val="24"/>
        </w:rPr>
        <w:t xml:space="preserve"> </w:t>
      </w:r>
      <w:hyperlink r:id="rId23" w:history="1">
        <w:r w:rsidR="0077548F" w:rsidRPr="00D125EC">
          <w:rPr>
            <w:rStyle w:val="Hyperlink"/>
            <w:rFonts w:ascii="Arial" w:hAnsi="Arial" w:cs="Arial"/>
            <w:sz w:val="24"/>
            <w:szCs w:val="24"/>
          </w:rPr>
          <w:t>(</w:t>
        </w:r>
        <w:r w:rsidR="00A16AA8" w:rsidRPr="00D125EC">
          <w:rPr>
            <w:rStyle w:val="Hyperlink"/>
            <w:rFonts w:ascii="Arial" w:hAnsi="Arial" w:cs="Arial"/>
            <w:sz w:val="24"/>
            <w:szCs w:val="24"/>
          </w:rPr>
          <w:t>legislation.gov.uk, 2025)</w:t>
        </w:r>
      </w:hyperlink>
      <w:r w:rsidR="00A16AA8" w:rsidRPr="00D125EC">
        <w:rPr>
          <w:rFonts w:ascii="Arial" w:hAnsi="Arial" w:cs="Arial"/>
          <w:sz w:val="24"/>
          <w:szCs w:val="24"/>
        </w:rPr>
        <w:t>.</w:t>
      </w:r>
    </w:p>
    <w:p w14:paraId="6BF543AE" w14:textId="17BF053C" w:rsidR="00693288" w:rsidRPr="00D125EC" w:rsidRDefault="00F70C60" w:rsidP="00A865F3">
      <w:pPr>
        <w:pStyle w:val="Heading1"/>
        <w:spacing w:line="276" w:lineRule="auto"/>
        <w:rPr>
          <w:rFonts w:ascii="Arial" w:hAnsi="Arial" w:cs="Arial"/>
        </w:rPr>
      </w:pPr>
      <w:bookmarkStart w:id="21" w:name="_Toc198879231"/>
      <w:r>
        <w:rPr>
          <w:rFonts w:ascii="Arial" w:hAnsi="Arial" w:cs="Arial"/>
        </w:rPr>
        <w:t xml:space="preserve">6. </w:t>
      </w:r>
      <w:r w:rsidR="00693288" w:rsidRPr="00D125EC">
        <w:rPr>
          <w:rFonts w:ascii="Arial" w:hAnsi="Arial" w:cs="Arial"/>
        </w:rPr>
        <w:t>Consenting regimes in Scotland</w:t>
      </w:r>
      <w:bookmarkEnd w:id="21"/>
    </w:p>
    <w:p w14:paraId="3B325522" w14:textId="6E2A5B04"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Scotland, applications to build, operate or modify onshore electricity generating stations with capacities over 50MW are decided by Scottish Ministers under the Electricity Act 1989. The same goes for applications to install overhead power lines, large oil and gas pipelines and associated infrastructure. These applications are processed on Scottish Ministers’ behalf by the Energy Consents Unit</w:t>
      </w:r>
      <w:r w:rsidR="008B19FA" w:rsidRPr="00D125EC">
        <w:rPr>
          <w:rFonts w:ascii="Arial" w:hAnsi="Arial" w:cs="Arial"/>
          <w:sz w:val="24"/>
          <w:szCs w:val="24"/>
        </w:rPr>
        <w:t xml:space="preserve"> </w:t>
      </w:r>
      <w:hyperlink r:id="rId24" w:history="1">
        <w:r w:rsidR="008B19FA" w:rsidRPr="00D125EC">
          <w:rPr>
            <w:rStyle w:val="Hyperlink"/>
            <w:rFonts w:ascii="Arial" w:hAnsi="Arial" w:cs="Arial"/>
            <w:sz w:val="24"/>
            <w:szCs w:val="24"/>
          </w:rPr>
          <w:t>(Scottish Government, 202</w:t>
        </w:r>
        <w:r w:rsidR="00C077D3" w:rsidRPr="00D125EC">
          <w:rPr>
            <w:rStyle w:val="Hyperlink"/>
            <w:rFonts w:ascii="Arial" w:hAnsi="Arial" w:cs="Arial"/>
            <w:sz w:val="24"/>
            <w:szCs w:val="24"/>
          </w:rPr>
          <w:t>5</w:t>
        </w:r>
        <w:r w:rsidR="008B19FA" w:rsidRPr="00D125EC">
          <w:rPr>
            <w:rStyle w:val="Hyperlink"/>
            <w:rFonts w:ascii="Arial" w:hAnsi="Arial" w:cs="Arial"/>
            <w:sz w:val="24"/>
            <w:szCs w:val="24"/>
          </w:rPr>
          <w:t>)</w:t>
        </w:r>
      </w:hyperlink>
      <w:r w:rsidRPr="00D125EC">
        <w:rPr>
          <w:rFonts w:ascii="Arial" w:hAnsi="Arial" w:cs="Arial"/>
          <w:sz w:val="24"/>
          <w:szCs w:val="24"/>
        </w:rPr>
        <w:t xml:space="preserve">. </w:t>
      </w:r>
    </w:p>
    <w:p w14:paraId="14F8DAFC" w14:textId="47BD1D81"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Offshore wind, wave and tidal energy projects also require consent from Scottish Ministers through Marine Scotland</w:t>
      </w:r>
      <w:r w:rsidR="00F3380A" w:rsidRPr="00D125EC">
        <w:rPr>
          <w:rFonts w:ascii="Arial" w:hAnsi="Arial" w:cs="Arial"/>
          <w:sz w:val="24"/>
          <w:szCs w:val="24"/>
        </w:rPr>
        <w:t xml:space="preserve"> </w:t>
      </w:r>
      <w:hyperlink r:id="rId25" w:history="1">
        <w:r w:rsidR="00F3380A" w:rsidRPr="00D125EC">
          <w:rPr>
            <w:rStyle w:val="Hyperlink"/>
            <w:rFonts w:ascii="Arial" w:hAnsi="Arial" w:cs="Arial"/>
            <w:sz w:val="24"/>
            <w:szCs w:val="24"/>
          </w:rPr>
          <w:t>(Scottish Government</w:t>
        </w:r>
        <w:r w:rsidR="00603D16" w:rsidRPr="00D125EC">
          <w:rPr>
            <w:rStyle w:val="Hyperlink"/>
            <w:rFonts w:ascii="Arial" w:hAnsi="Arial" w:cs="Arial"/>
            <w:sz w:val="24"/>
            <w:szCs w:val="24"/>
          </w:rPr>
          <w:t>, 2025)</w:t>
        </w:r>
      </w:hyperlink>
      <w:r w:rsidRPr="00D125EC">
        <w:rPr>
          <w:rFonts w:ascii="Arial" w:hAnsi="Arial" w:cs="Arial"/>
          <w:sz w:val="24"/>
          <w:szCs w:val="24"/>
        </w:rPr>
        <w:t>. The Sectoral Marine Plan for Offshore Wind Energy</w:t>
      </w:r>
      <w:r w:rsidR="008A3F68" w:rsidRPr="00D125EC">
        <w:rPr>
          <w:rFonts w:ascii="Arial" w:hAnsi="Arial" w:cs="Arial"/>
          <w:sz w:val="24"/>
          <w:szCs w:val="24"/>
        </w:rPr>
        <w:t xml:space="preserve"> </w:t>
      </w:r>
      <w:r w:rsidRPr="00D125EC">
        <w:rPr>
          <w:rFonts w:ascii="Arial" w:hAnsi="Arial" w:cs="Arial"/>
          <w:sz w:val="24"/>
          <w:szCs w:val="24"/>
        </w:rPr>
        <w:t xml:space="preserve"> serves as a strategic framework to identify sustainable plan options for development of commercial-scale offshore wind projects with a generating capacity of over 100MW</w:t>
      </w:r>
      <w:r w:rsidR="006E3758" w:rsidRPr="00D125EC">
        <w:rPr>
          <w:rFonts w:ascii="Arial" w:hAnsi="Arial" w:cs="Arial"/>
          <w:sz w:val="24"/>
          <w:szCs w:val="24"/>
        </w:rPr>
        <w:t xml:space="preserve"> </w:t>
      </w:r>
      <w:hyperlink r:id="rId26" w:history="1">
        <w:r w:rsidR="006E3758" w:rsidRPr="00D125EC">
          <w:rPr>
            <w:rStyle w:val="Hyperlink"/>
            <w:rFonts w:ascii="Arial" w:hAnsi="Arial" w:cs="Arial"/>
            <w:sz w:val="24"/>
            <w:szCs w:val="24"/>
          </w:rPr>
          <w:t>(Scottish Government, 2020)</w:t>
        </w:r>
      </w:hyperlink>
      <w:r w:rsidRPr="00D125EC">
        <w:rPr>
          <w:rFonts w:ascii="Arial" w:hAnsi="Arial" w:cs="Arial"/>
          <w:sz w:val="24"/>
          <w:szCs w:val="24"/>
        </w:rPr>
        <w:t xml:space="preserve">. It informs the Crown Estate Scotland leasing process. </w:t>
      </w:r>
    </w:p>
    <w:p w14:paraId="29F5C306" w14:textId="6DABF2BB"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Applications for onshore electricity generating stations with capacities of 50MW or less are approved by the local planning authority under the Town and Country Planning (Scotland) Act</w:t>
      </w:r>
      <w:r w:rsidR="00AE5496" w:rsidRPr="00D125EC">
        <w:rPr>
          <w:rFonts w:ascii="Arial" w:hAnsi="Arial" w:cs="Arial"/>
          <w:sz w:val="24"/>
          <w:szCs w:val="24"/>
        </w:rPr>
        <w:t xml:space="preserve"> 1997</w:t>
      </w:r>
      <w:r w:rsidRPr="00D125EC">
        <w:rPr>
          <w:rFonts w:ascii="Arial" w:hAnsi="Arial" w:cs="Arial"/>
          <w:sz w:val="24"/>
          <w:szCs w:val="24"/>
        </w:rPr>
        <w:t xml:space="preserve">. </w:t>
      </w:r>
    </w:p>
    <w:p w14:paraId="54478FF9" w14:textId="6991ACC6"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Changes to electricity consenting in Scotland </w:t>
      </w:r>
      <w:r w:rsidR="002821BE" w:rsidRPr="00D125EC">
        <w:rPr>
          <w:rFonts w:ascii="Arial" w:hAnsi="Arial" w:cs="Arial"/>
          <w:sz w:val="24"/>
          <w:szCs w:val="24"/>
        </w:rPr>
        <w:t xml:space="preserve">have been </w:t>
      </w:r>
      <w:r w:rsidRPr="00D125EC">
        <w:rPr>
          <w:rFonts w:ascii="Arial" w:hAnsi="Arial" w:cs="Arial"/>
          <w:sz w:val="24"/>
          <w:szCs w:val="24"/>
        </w:rPr>
        <w:t>introduced in the Planning and Infrastructure Bill</w:t>
      </w:r>
      <w:r w:rsidR="001A6611" w:rsidRPr="00D125EC">
        <w:rPr>
          <w:rFonts w:ascii="Arial" w:hAnsi="Arial" w:cs="Arial"/>
          <w:sz w:val="24"/>
          <w:szCs w:val="24"/>
        </w:rPr>
        <w:t xml:space="preserve"> </w:t>
      </w:r>
      <w:hyperlink r:id="rId27" w:history="1">
        <w:r w:rsidR="001A6611" w:rsidRPr="00D125EC">
          <w:rPr>
            <w:rStyle w:val="Hyperlink"/>
            <w:rFonts w:ascii="Arial" w:hAnsi="Arial" w:cs="Arial"/>
            <w:sz w:val="24"/>
            <w:szCs w:val="24"/>
          </w:rPr>
          <w:t>(House of Commons, 2025)</w:t>
        </w:r>
      </w:hyperlink>
      <w:r w:rsidRPr="00D125EC">
        <w:rPr>
          <w:rFonts w:ascii="Arial" w:hAnsi="Arial" w:cs="Arial"/>
          <w:sz w:val="24"/>
          <w:szCs w:val="24"/>
        </w:rPr>
        <w:t xml:space="preserve">. This follows recognition that the Electricity Act 1989 needs modernisation to realise Scotland’s net zero ambitions. Under the bill, pre-application and acceptance stages </w:t>
      </w:r>
      <w:r w:rsidR="006D1852" w:rsidRPr="00D125EC">
        <w:rPr>
          <w:rFonts w:ascii="Arial" w:hAnsi="Arial" w:cs="Arial"/>
          <w:sz w:val="24"/>
          <w:szCs w:val="24"/>
        </w:rPr>
        <w:t>like</w:t>
      </w:r>
      <w:r w:rsidRPr="00D125EC">
        <w:rPr>
          <w:rFonts w:ascii="Arial" w:hAnsi="Arial" w:cs="Arial"/>
          <w:sz w:val="24"/>
          <w:szCs w:val="24"/>
        </w:rPr>
        <w:t xml:space="preserve"> </w:t>
      </w:r>
      <w:r w:rsidR="00F56024" w:rsidRPr="00D125EC">
        <w:rPr>
          <w:rFonts w:ascii="Arial" w:hAnsi="Arial" w:cs="Arial"/>
          <w:sz w:val="24"/>
          <w:szCs w:val="24"/>
        </w:rPr>
        <w:t>those</w:t>
      </w:r>
      <w:r w:rsidRPr="00D125EC">
        <w:rPr>
          <w:rFonts w:ascii="Arial" w:hAnsi="Arial" w:cs="Arial"/>
          <w:sz w:val="24"/>
          <w:szCs w:val="24"/>
        </w:rPr>
        <w:t xml:space="preserve"> in England will be introduced. There will be clearer timescales for each stage of consenting.</w:t>
      </w:r>
    </w:p>
    <w:p w14:paraId="586B38A5" w14:textId="142CFDDF" w:rsidR="00693288" w:rsidRPr="00D125EC" w:rsidRDefault="00F70C60" w:rsidP="00A865F3">
      <w:pPr>
        <w:pStyle w:val="Heading1"/>
        <w:spacing w:line="276" w:lineRule="auto"/>
        <w:rPr>
          <w:rFonts w:ascii="Arial" w:hAnsi="Arial" w:cs="Arial"/>
        </w:rPr>
      </w:pPr>
      <w:bookmarkStart w:id="22" w:name="_Toc198879232"/>
      <w:r>
        <w:rPr>
          <w:rFonts w:ascii="Arial" w:hAnsi="Arial" w:cs="Arial"/>
        </w:rPr>
        <w:t xml:space="preserve">7. </w:t>
      </w:r>
      <w:r w:rsidR="00693288" w:rsidRPr="00D125EC">
        <w:rPr>
          <w:rFonts w:ascii="Arial" w:hAnsi="Arial" w:cs="Arial"/>
        </w:rPr>
        <w:t>Consenting regimes in Wales</w:t>
      </w:r>
      <w:bookmarkEnd w:id="22"/>
    </w:p>
    <w:p w14:paraId="2468EF14" w14:textId="5F6B9A7C"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Wales, energy generation projects of 10MW to 350MW are considered Developments of National Significance (DNS). They are determined by Welsh Ministers and handled by Planning and Environment Decisions Wales (PEDW). In 2024, the Welsh government announced plans to allow PEDW to take decisions on renewable energy projects up to 50MW</w:t>
      </w:r>
      <w:r w:rsidR="00F56024" w:rsidRPr="00D125EC">
        <w:rPr>
          <w:rFonts w:ascii="Arial" w:hAnsi="Arial" w:cs="Arial"/>
          <w:sz w:val="24"/>
          <w:szCs w:val="24"/>
        </w:rPr>
        <w:t xml:space="preserve"> </w:t>
      </w:r>
      <w:hyperlink r:id="rId28" w:history="1">
        <w:r w:rsidR="00F56024" w:rsidRPr="00D125EC">
          <w:rPr>
            <w:rStyle w:val="Hyperlink"/>
            <w:rFonts w:ascii="Arial" w:hAnsi="Arial" w:cs="Arial"/>
            <w:sz w:val="24"/>
            <w:szCs w:val="24"/>
          </w:rPr>
          <w:t>(Welsh Government, 2024)</w:t>
        </w:r>
      </w:hyperlink>
      <w:r w:rsidRPr="00D125EC">
        <w:rPr>
          <w:rFonts w:ascii="Arial" w:hAnsi="Arial" w:cs="Arial"/>
          <w:sz w:val="24"/>
          <w:szCs w:val="24"/>
        </w:rPr>
        <w:t>. This was envisioned to reduce decision time by at least 12 weeks.</w:t>
      </w:r>
    </w:p>
    <w:p w14:paraId="68A8A3A3" w14:textId="726966DB"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lastRenderedPageBreak/>
        <w:t>DNS applications must be decided in accordance with Welsh government planning policy and relevant Local Development Plans. Welsh government planning policy is set out in Future Wales</w:t>
      </w:r>
      <w:r w:rsidR="00F56024" w:rsidRPr="00D125EC">
        <w:rPr>
          <w:rFonts w:ascii="Arial" w:hAnsi="Arial" w:cs="Arial"/>
          <w:sz w:val="24"/>
          <w:szCs w:val="24"/>
        </w:rPr>
        <w:t xml:space="preserve"> </w:t>
      </w:r>
      <w:hyperlink r:id="rId29" w:history="1">
        <w:r w:rsidR="00F56024" w:rsidRPr="00D125EC">
          <w:rPr>
            <w:rStyle w:val="Hyperlink"/>
            <w:rFonts w:ascii="Arial" w:hAnsi="Arial" w:cs="Arial"/>
            <w:sz w:val="24"/>
            <w:szCs w:val="24"/>
          </w:rPr>
          <w:t>(Welsh Government, 2019)</w:t>
        </w:r>
      </w:hyperlink>
      <w:r w:rsidRPr="00D125EC">
        <w:rPr>
          <w:rFonts w:ascii="Arial" w:hAnsi="Arial" w:cs="Arial"/>
          <w:sz w:val="24"/>
          <w:szCs w:val="24"/>
        </w:rPr>
        <w:t>, Planning Policy Wales</w:t>
      </w:r>
      <w:r w:rsidR="00F56024" w:rsidRPr="00D125EC">
        <w:rPr>
          <w:rFonts w:ascii="Arial" w:hAnsi="Arial" w:cs="Arial"/>
          <w:sz w:val="24"/>
          <w:szCs w:val="24"/>
        </w:rPr>
        <w:t xml:space="preserve"> </w:t>
      </w:r>
      <w:hyperlink r:id="rId30" w:history="1">
        <w:r w:rsidR="00F56024" w:rsidRPr="00D125EC">
          <w:rPr>
            <w:rStyle w:val="Hyperlink"/>
            <w:rFonts w:ascii="Arial" w:hAnsi="Arial" w:cs="Arial"/>
            <w:sz w:val="24"/>
            <w:szCs w:val="24"/>
          </w:rPr>
          <w:t>(Welsh Government, 2018)</w:t>
        </w:r>
      </w:hyperlink>
      <w:r w:rsidRPr="00D125EC">
        <w:rPr>
          <w:rFonts w:ascii="Arial" w:hAnsi="Arial" w:cs="Arial"/>
          <w:sz w:val="24"/>
          <w:szCs w:val="24"/>
        </w:rPr>
        <w:t xml:space="preserve">, and various Technical Advice Notes. Local Development Plans are prepared by Local Planning Authorities. </w:t>
      </w:r>
    </w:p>
    <w:p w14:paraId="289A8819" w14:textId="383C4892"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2024, the new Infrastructure (Wales) Act received Royal Assent</w:t>
      </w:r>
      <w:r w:rsidR="00AC64FE" w:rsidRPr="00D125EC">
        <w:rPr>
          <w:rFonts w:ascii="Arial" w:hAnsi="Arial" w:cs="Arial"/>
          <w:sz w:val="24"/>
          <w:szCs w:val="24"/>
        </w:rPr>
        <w:t xml:space="preserve"> </w:t>
      </w:r>
      <w:hyperlink r:id="rId31" w:history="1">
        <w:r w:rsidR="0086005B" w:rsidRPr="00D125EC">
          <w:rPr>
            <w:rStyle w:val="Hyperlink"/>
            <w:rFonts w:ascii="Arial" w:hAnsi="Arial" w:cs="Arial"/>
            <w:sz w:val="24"/>
            <w:szCs w:val="24"/>
          </w:rPr>
          <w:t>(Senedd Cymru, 2024)</w:t>
        </w:r>
      </w:hyperlink>
      <w:r w:rsidRPr="00D125EC">
        <w:rPr>
          <w:rFonts w:ascii="Arial" w:hAnsi="Arial" w:cs="Arial"/>
          <w:sz w:val="24"/>
          <w:szCs w:val="24"/>
        </w:rPr>
        <w:t xml:space="preserve">. The Act contains provisions to establish a unified consenting process called an Infrastructure Consent for ‘Significant Infrastructure Projects’ (SIPs). The vision is to replace various statutory regimes with a single process, creating a ‘one-stop shop’. </w:t>
      </w:r>
    </w:p>
    <w:p w14:paraId="4B63DF6E" w14:textId="38B8F56D"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This new process covers wind generating stations of capacities over 50 MW and other energy projects of 50MW to 350MW.  For projects below the 50MW compulsory threshold, as well as battery storage projects over 10MW, Welsh ministers have the power to direct them into the regime</w:t>
      </w:r>
      <w:r w:rsidR="0054060B" w:rsidRPr="00D125EC">
        <w:rPr>
          <w:rFonts w:ascii="Arial" w:hAnsi="Arial" w:cs="Arial"/>
          <w:sz w:val="24"/>
          <w:szCs w:val="24"/>
        </w:rPr>
        <w:t xml:space="preserve"> </w:t>
      </w:r>
      <w:hyperlink r:id="rId32" w:history="1">
        <w:r w:rsidR="0054060B" w:rsidRPr="00D125EC">
          <w:rPr>
            <w:rStyle w:val="Hyperlink"/>
            <w:rFonts w:ascii="Arial" w:hAnsi="Arial" w:cs="Arial"/>
            <w:sz w:val="24"/>
            <w:szCs w:val="24"/>
          </w:rPr>
          <w:t>(Welsh Government, 2024)</w:t>
        </w:r>
      </w:hyperlink>
      <w:r w:rsidRPr="00D125EC">
        <w:rPr>
          <w:rFonts w:ascii="Arial" w:hAnsi="Arial" w:cs="Arial"/>
          <w:sz w:val="24"/>
          <w:szCs w:val="24"/>
        </w:rPr>
        <w:t xml:space="preserve">. </w:t>
      </w:r>
    </w:p>
    <w:p w14:paraId="517F4937"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While the primary legislation is now in place, further secondary legislative work will have to be undertaken before these changes will be implemented. Once in place, this will replace the DNS process. </w:t>
      </w:r>
    </w:p>
    <w:p w14:paraId="1B289D0C" w14:textId="05631EC3"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Projects generating more than 350MW are determined by the NSIP regime, as described in the England section above.</w:t>
      </w:r>
    </w:p>
    <w:p w14:paraId="001D9594" w14:textId="3D82BD1D"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Smaller scale projects are decided by Local Planning</w:t>
      </w:r>
      <w:r w:rsidR="00771150" w:rsidRPr="00D125EC">
        <w:rPr>
          <w:rFonts w:ascii="Arial" w:hAnsi="Arial" w:cs="Arial"/>
          <w:sz w:val="24"/>
          <w:szCs w:val="24"/>
        </w:rPr>
        <w:t xml:space="preserve"> Authorities</w:t>
      </w:r>
      <w:r w:rsidRPr="00D125EC">
        <w:rPr>
          <w:rFonts w:ascii="Arial" w:hAnsi="Arial" w:cs="Arial"/>
          <w:sz w:val="24"/>
          <w:szCs w:val="24"/>
        </w:rPr>
        <w:t xml:space="preserve">, with reference to the Local Development Plan for the area and Welsh government planning policy and guidance. </w:t>
      </w:r>
    </w:p>
    <w:p w14:paraId="09FFF56F" w14:textId="02C4EBF2" w:rsidR="00693288" w:rsidRPr="00D125EC" w:rsidRDefault="00F70C60" w:rsidP="00A865F3">
      <w:pPr>
        <w:pStyle w:val="Heading1"/>
        <w:spacing w:line="276" w:lineRule="auto"/>
        <w:rPr>
          <w:rFonts w:ascii="Arial" w:hAnsi="Arial" w:cs="Arial"/>
        </w:rPr>
      </w:pPr>
      <w:bookmarkStart w:id="23" w:name="_Toc198879233"/>
      <w:r>
        <w:rPr>
          <w:rFonts w:ascii="Arial" w:hAnsi="Arial" w:cs="Arial"/>
        </w:rPr>
        <w:t xml:space="preserve">8. </w:t>
      </w:r>
      <w:r w:rsidR="00693288" w:rsidRPr="00D125EC">
        <w:rPr>
          <w:rFonts w:ascii="Arial" w:hAnsi="Arial" w:cs="Arial"/>
        </w:rPr>
        <w:t>Consenting regimes in Northern Ireland</w:t>
      </w:r>
      <w:bookmarkEnd w:id="23"/>
    </w:p>
    <w:p w14:paraId="3B774C50" w14:textId="0FD52D9E" w:rsidR="00693288" w:rsidRPr="00D125EC" w:rsidRDefault="00693288" w:rsidP="00D125EC">
      <w:pPr>
        <w:spacing w:line="360" w:lineRule="auto"/>
        <w:rPr>
          <w:rFonts w:ascii="Arial" w:eastAsia="Aptos" w:hAnsi="Arial" w:cs="Arial"/>
          <w:sz w:val="24"/>
          <w:szCs w:val="24"/>
        </w:rPr>
      </w:pPr>
      <w:r w:rsidRPr="00D125EC">
        <w:rPr>
          <w:rFonts w:ascii="Arial" w:eastAsia="Aptos" w:hAnsi="Arial" w:cs="Arial"/>
          <w:sz w:val="24"/>
          <w:szCs w:val="24"/>
        </w:rPr>
        <w:t>In Northern Ireland, the Strategic Planning Policy Statement (SPSS)</w:t>
      </w:r>
      <w:r w:rsidR="003F0D77" w:rsidRPr="00D125EC">
        <w:rPr>
          <w:rFonts w:ascii="Arial" w:eastAsia="Aptos" w:hAnsi="Arial" w:cs="Arial"/>
          <w:sz w:val="24"/>
          <w:szCs w:val="24"/>
        </w:rPr>
        <w:t xml:space="preserve"> </w:t>
      </w:r>
      <w:hyperlink r:id="rId33" w:history="1">
        <w:r w:rsidR="003F0D77" w:rsidRPr="00D125EC">
          <w:rPr>
            <w:rStyle w:val="Hyperlink"/>
            <w:rFonts w:ascii="Arial" w:eastAsia="Aptos" w:hAnsi="Arial" w:cs="Arial"/>
            <w:sz w:val="24"/>
            <w:szCs w:val="24"/>
          </w:rPr>
          <w:t>(Department for Infrastructure, 2015)</w:t>
        </w:r>
      </w:hyperlink>
      <w:r w:rsidRPr="00D125EC">
        <w:rPr>
          <w:rFonts w:ascii="Arial" w:eastAsia="Aptos" w:hAnsi="Arial" w:cs="Arial"/>
          <w:sz w:val="24"/>
          <w:szCs w:val="24"/>
        </w:rPr>
        <w:t xml:space="preserve"> serves as the overarching planning document for the region. The provisions of </w:t>
      </w:r>
      <w:r w:rsidR="003F0D77" w:rsidRPr="00D125EC">
        <w:rPr>
          <w:rFonts w:ascii="Arial" w:eastAsia="Aptos" w:hAnsi="Arial" w:cs="Arial"/>
          <w:sz w:val="24"/>
          <w:szCs w:val="24"/>
        </w:rPr>
        <w:t xml:space="preserve">the </w:t>
      </w:r>
      <w:r w:rsidRPr="00D125EC">
        <w:rPr>
          <w:rFonts w:ascii="Arial" w:eastAsia="Aptos" w:hAnsi="Arial" w:cs="Arial"/>
          <w:sz w:val="24"/>
          <w:szCs w:val="24"/>
        </w:rPr>
        <w:t xml:space="preserve">SPSS must be taken into account in the preparation of Local Development Plans and are material to all decisions on planning applications and appeals. </w:t>
      </w:r>
    </w:p>
    <w:p w14:paraId="6AB768A0" w14:textId="0043B0F6" w:rsidR="00693288" w:rsidRPr="00D125EC" w:rsidRDefault="00693288" w:rsidP="00D125EC">
      <w:pPr>
        <w:spacing w:line="360" w:lineRule="auto"/>
        <w:rPr>
          <w:rFonts w:ascii="Arial" w:eastAsia="Aptos" w:hAnsi="Arial" w:cs="Arial"/>
          <w:sz w:val="24"/>
          <w:szCs w:val="24"/>
        </w:rPr>
      </w:pPr>
      <w:r w:rsidRPr="00D125EC">
        <w:rPr>
          <w:rFonts w:ascii="Arial" w:eastAsia="Aptos" w:hAnsi="Arial" w:cs="Arial"/>
          <w:sz w:val="24"/>
          <w:szCs w:val="24"/>
        </w:rPr>
        <w:t xml:space="preserve">Electricity generating stations of a capacity of 30MW or over are considered ‘major developments’. This category also covers all onshore development associated with the construction of an offshore electricity generating station that has a capacity of </w:t>
      </w:r>
      <w:r w:rsidRPr="00D125EC">
        <w:rPr>
          <w:rFonts w:ascii="Arial" w:eastAsia="Aptos" w:hAnsi="Arial" w:cs="Arial"/>
          <w:sz w:val="24"/>
          <w:szCs w:val="24"/>
        </w:rPr>
        <w:lastRenderedPageBreak/>
        <w:t>30MW or over. As these projects are considered to have important social, economic and environmental implications for a local area they are given priority</w:t>
      </w:r>
      <w:r w:rsidR="00494A2B" w:rsidRPr="00D125EC">
        <w:rPr>
          <w:rFonts w:ascii="Arial" w:eastAsia="Aptos" w:hAnsi="Arial" w:cs="Arial"/>
          <w:sz w:val="24"/>
          <w:szCs w:val="24"/>
        </w:rPr>
        <w:t>,</w:t>
      </w:r>
      <w:r w:rsidRPr="00D125EC">
        <w:rPr>
          <w:rFonts w:ascii="Arial" w:eastAsia="Aptos" w:hAnsi="Arial" w:cs="Arial"/>
          <w:sz w:val="24"/>
          <w:szCs w:val="24"/>
        </w:rPr>
        <w:t xml:space="preserve"> at the local authority’s discretion</w:t>
      </w:r>
      <w:r w:rsidR="00494A2B" w:rsidRPr="00D125EC">
        <w:rPr>
          <w:rFonts w:ascii="Arial" w:eastAsia="Aptos" w:hAnsi="Arial" w:cs="Arial"/>
          <w:sz w:val="24"/>
          <w:szCs w:val="24"/>
        </w:rPr>
        <w:t>,</w:t>
      </w:r>
      <w:r w:rsidRPr="00D125EC">
        <w:rPr>
          <w:rFonts w:ascii="Arial" w:eastAsia="Aptos" w:hAnsi="Arial" w:cs="Arial"/>
          <w:sz w:val="24"/>
          <w:szCs w:val="24"/>
        </w:rPr>
        <w:t xml:space="preserve"> to avoid delay and risk to investment decisions. Applicants for a major development must undertake pre-application community consultation.</w:t>
      </w:r>
    </w:p>
    <w:p w14:paraId="1935AF4C" w14:textId="77777777" w:rsidR="00693288" w:rsidRPr="00D125EC" w:rsidRDefault="00693288" w:rsidP="00D125EC">
      <w:pPr>
        <w:spacing w:line="360" w:lineRule="auto"/>
        <w:rPr>
          <w:rFonts w:ascii="Arial" w:eastAsia="Aptos" w:hAnsi="Arial" w:cs="Arial"/>
          <w:sz w:val="24"/>
          <w:szCs w:val="24"/>
        </w:rPr>
      </w:pPr>
      <w:r w:rsidRPr="00D125EC">
        <w:rPr>
          <w:rFonts w:ascii="Arial" w:eastAsia="Aptos" w:hAnsi="Arial" w:cs="Arial"/>
          <w:sz w:val="24"/>
          <w:szCs w:val="24"/>
        </w:rPr>
        <w:t>The Department for Infrastructure (</w:t>
      </w:r>
      <w:proofErr w:type="spellStart"/>
      <w:r w:rsidRPr="00D125EC">
        <w:rPr>
          <w:rFonts w:ascii="Arial" w:eastAsia="Aptos" w:hAnsi="Arial" w:cs="Arial"/>
          <w:sz w:val="24"/>
          <w:szCs w:val="24"/>
        </w:rPr>
        <w:t>DfI</w:t>
      </w:r>
      <w:proofErr w:type="spellEnd"/>
      <w:r w:rsidRPr="00D125EC">
        <w:rPr>
          <w:rFonts w:ascii="Arial" w:eastAsia="Aptos" w:hAnsi="Arial" w:cs="Arial"/>
          <w:sz w:val="24"/>
          <w:szCs w:val="24"/>
        </w:rPr>
        <w:t xml:space="preserve">) may call in an application for determination if it is deemed to have regional social, economic, or environmental significance and will affect a large number of people. </w:t>
      </w:r>
    </w:p>
    <w:p w14:paraId="3B92C309" w14:textId="6BDDA33B" w:rsidR="00693288" w:rsidRPr="00D125EC" w:rsidRDefault="00693288" w:rsidP="00D125EC">
      <w:pPr>
        <w:spacing w:line="360" w:lineRule="auto"/>
        <w:rPr>
          <w:rFonts w:ascii="Arial" w:eastAsia="Aptos" w:hAnsi="Arial" w:cs="Arial"/>
          <w:sz w:val="24"/>
          <w:szCs w:val="24"/>
        </w:rPr>
      </w:pPr>
      <w:r w:rsidRPr="00D125EC">
        <w:rPr>
          <w:rFonts w:ascii="Arial" w:eastAsia="Aptos" w:hAnsi="Arial" w:cs="Arial"/>
          <w:sz w:val="24"/>
          <w:szCs w:val="24"/>
        </w:rPr>
        <w:t xml:space="preserve">There is also a separate class of ‘regionally significant planning applications’, which are submitted to and determined by the </w:t>
      </w:r>
      <w:proofErr w:type="spellStart"/>
      <w:r w:rsidRPr="00D125EC">
        <w:rPr>
          <w:rFonts w:ascii="Arial" w:eastAsia="Aptos" w:hAnsi="Arial" w:cs="Arial"/>
          <w:sz w:val="24"/>
          <w:szCs w:val="24"/>
        </w:rPr>
        <w:t>DfI</w:t>
      </w:r>
      <w:proofErr w:type="spellEnd"/>
      <w:r w:rsidRPr="00D125EC">
        <w:rPr>
          <w:rFonts w:ascii="Arial" w:eastAsia="Aptos" w:hAnsi="Arial" w:cs="Arial"/>
          <w:sz w:val="24"/>
          <w:szCs w:val="24"/>
        </w:rPr>
        <w:t xml:space="preserve"> directly. According to the </w:t>
      </w:r>
      <w:r w:rsidRPr="00D125EC">
        <w:rPr>
          <w:rFonts w:ascii="Arial" w:hAnsi="Arial" w:cs="Arial"/>
          <w:sz w:val="24"/>
          <w:szCs w:val="24"/>
        </w:rPr>
        <w:t>Planning Act (Northern Ireland) 2011</w:t>
      </w:r>
      <w:r w:rsidR="00881F93" w:rsidRPr="00D125EC">
        <w:rPr>
          <w:rFonts w:ascii="Arial" w:hAnsi="Arial" w:cs="Arial"/>
          <w:sz w:val="24"/>
          <w:szCs w:val="24"/>
        </w:rPr>
        <w:t xml:space="preserve"> </w:t>
      </w:r>
      <w:hyperlink r:id="rId34" w:history="1">
        <w:r w:rsidR="00881F93" w:rsidRPr="00D125EC">
          <w:rPr>
            <w:rStyle w:val="Hyperlink"/>
            <w:rFonts w:ascii="Arial" w:hAnsi="Arial" w:cs="Arial"/>
            <w:sz w:val="24"/>
            <w:szCs w:val="24"/>
          </w:rPr>
          <w:t>(</w:t>
        </w:r>
        <w:r w:rsidR="008154DF" w:rsidRPr="00D125EC">
          <w:rPr>
            <w:rStyle w:val="Hyperlink"/>
            <w:rFonts w:ascii="Arial" w:hAnsi="Arial" w:cs="Arial"/>
            <w:sz w:val="24"/>
            <w:szCs w:val="24"/>
          </w:rPr>
          <w:t>Northern Ireland Assembly, 2011)</w:t>
        </w:r>
      </w:hyperlink>
      <w:r w:rsidRPr="00D125EC">
        <w:rPr>
          <w:rFonts w:ascii="Arial" w:hAnsi="Arial" w:cs="Arial"/>
          <w:sz w:val="24"/>
          <w:szCs w:val="24"/>
        </w:rPr>
        <w:t>, these developments are defined to:</w:t>
      </w:r>
    </w:p>
    <w:p w14:paraId="0851149A" w14:textId="1C15DA86" w:rsidR="00693288" w:rsidRPr="00D125EC" w:rsidRDefault="008154DF" w:rsidP="00D125EC">
      <w:pPr>
        <w:pStyle w:val="ListParagraph"/>
        <w:numPr>
          <w:ilvl w:val="0"/>
          <w:numId w:val="3"/>
        </w:numPr>
        <w:spacing w:after="200" w:line="360" w:lineRule="auto"/>
        <w:rPr>
          <w:rFonts w:ascii="Arial" w:hAnsi="Arial" w:cs="Arial"/>
          <w:sz w:val="24"/>
          <w:szCs w:val="24"/>
        </w:rPr>
      </w:pPr>
      <w:r w:rsidRPr="00D125EC">
        <w:rPr>
          <w:rStyle w:val="legds"/>
          <w:rFonts w:ascii="Arial" w:hAnsi="Arial" w:cs="Arial"/>
          <w:color w:val="1E1E1E"/>
          <w:sz w:val="24"/>
          <w:szCs w:val="24"/>
        </w:rPr>
        <w:t xml:space="preserve">Be </w:t>
      </w:r>
      <w:r w:rsidR="00693288" w:rsidRPr="00D125EC">
        <w:rPr>
          <w:rStyle w:val="legds"/>
          <w:rFonts w:ascii="Arial" w:hAnsi="Arial" w:cs="Arial"/>
          <w:color w:val="1E1E1E"/>
          <w:sz w:val="24"/>
          <w:szCs w:val="24"/>
        </w:rPr>
        <w:t>of significance to the whole or a substantial part of Northern Ireland or have significant effects outside Northern Ireland</w:t>
      </w:r>
      <w:r w:rsidRPr="00D125EC">
        <w:rPr>
          <w:rStyle w:val="legds"/>
          <w:rFonts w:ascii="Arial" w:hAnsi="Arial" w:cs="Arial"/>
          <w:color w:val="1E1E1E"/>
          <w:sz w:val="24"/>
          <w:szCs w:val="24"/>
        </w:rPr>
        <w:t>;</w:t>
      </w:r>
      <w:r w:rsidR="00693288" w:rsidRPr="00D125EC">
        <w:rPr>
          <w:rStyle w:val="legds"/>
          <w:rFonts w:ascii="Arial" w:hAnsi="Arial" w:cs="Arial"/>
          <w:color w:val="1E1E1E"/>
          <w:sz w:val="24"/>
          <w:szCs w:val="24"/>
        </w:rPr>
        <w:t xml:space="preserve"> </w:t>
      </w:r>
      <w:r w:rsidR="000234AA" w:rsidRPr="00D125EC">
        <w:rPr>
          <w:rStyle w:val="legds"/>
          <w:rFonts w:ascii="Arial" w:hAnsi="Arial" w:cs="Arial"/>
          <w:color w:val="1E1E1E"/>
          <w:sz w:val="24"/>
          <w:szCs w:val="24"/>
        </w:rPr>
        <w:t>and/</w:t>
      </w:r>
      <w:r w:rsidR="00693288" w:rsidRPr="00D125EC">
        <w:rPr>
          <w:rStyle w:val="legds"/>
          <w:rFonts w:ascii="Arial" w:hAnsi="Arial" w:cs="Arial"/>
          <w:color w:val="1E1E1E"/>
          <w:sz w:val="24"/>
          <w:szCs w:val="24"/>
        </w:rPr>
        <w:t>or</w:t>
      </w:r>
    </w:p>
    <w:p w14:paraId="299013BD" w14:textId="0D6D03AD" w:rsidR="00693288" w:rsidRPr="00D125EC" w:rsidRDefault="008154DF" w:rsidP="00D125EC">
      <w:pPr>
        <w:pStyle w:val="ListParagraph"/>
        <w:numPr>
          <w:ilvl w:val="0"/>
          <w:numId w:val="3"/>
        </w:numPr>
        <w:spacing w:after="200" w:line="360" w:lineRule="auto"/>
        <w:rPr>
          <w:rStyle w:val="legds"/>
          <w:rFonts w:ascii="Arial" w:hAnsi="Arial" w:cs="Arial"/>
          <w:sz w:val="24"/>
          <w:szCs w:val="24"/>
        </w:rPr>
      </w:pPr>
      <w:r w:rsidRPr="00D125EC">
        <w:rPr>
          <w:rStyle w:val="legds"/>
          <w:rFonts w:ascii="Arial" w:hAnsi="Arial" w:cs="Arial"/>
          <w:color w:val="1E1E1E"/>
          <w:sz w:val="24"/>
          <w:szCs w:val="24"/>
        </w:rPr>
        <w:t xml:space="preserve">Involve </w:t>
      </w:r>
      <w:r w:rsidR="00693288" w:rsidRPr="00D125EC">
        <w:rPr>
          <w:rStyle w:val="legds"/>
          <w:rFonts w:ascii="Arial" w:hAnsi="Arial" w:cs="Arial"/>
          <w:color w:val="1E1E1E"/>
          <w:sz w:val="24"/>
          <w:szCs w:val="24"/>
        </w:rPr>
        <w:t>a substantial departure from the local development plan for the area to which it relates.</w:t>
      </w:r>
    </w:p>
    <w:p w14:paraId="10B4C76C" w14:textId="1055DD82" w:rsidR="00693288" w:rsidRPr="00D125EC" w:rsidRDefault="00F70C60" w:rsidP="00A865F3">
      <w:pPr>
        <w:pStyle w:val="Heading1"/>
        <w:spacing w:line="276" w:lineRule="auto"/>
        <w:rPr>
          <w:rFonts w:ascii="Arial" w:hAnsi="Arial" w:cs="Arial"/>
        </w:rPr>
      </w:pPr>
      <w:bookmarkStart w:id="24" w:name="_Toc198879234"/>
      <w:r>
        <w:rPr>
          <w:rFonts w:ascii="Arial" w:hAnsi="Arial" w:cs="Arial"/>
        </w:rPr>
        <w:t xml:space="preserve">9. </w:t>
      </w:r>
      <w:r w:rsidR="00637836" w:rsidRPr="00D125EC">
        <w:rPr>
          <w:rFonts w:ascii="Arial" w:hAnsi="Arial" w:cs="Arial"/>
        </w:rPr>
        <w:t xml:space="preserve">The key energy-related spatial </w:t>
      </w:r>
      <w:r w:rsidR="00693288" w:rsidRPr="00D125EC">
        <w:rPr>
          <w:rFonts w:ascii="Arial" w:hAnsi="Arial" w:cs="Arial"/>
        </w:rPr>
        <w:t xml:space="preserve">and </w:t>
      </w:r>
      <w:r w:rsidR="00FF13E7" w:rsidRPr="00D125EC">
        <w:rPr>
          <w:rFonts w:ascii="Arial" w:hAnsi="Arial" w:cs="Arial"/>
        </w:rPr>
        <w:t xml:space="preserve">town </w:t>
      </w:r>
      <w:r w:rsidR="00E65BDF" w:rsidRPr="00D125EC">
        <w:rPr>
          <w:rFonts w:ascii="Arial" w:hAnsi="Arial" w:cs="Arial"/>
        </w:rPr>
        <w:t xml:space="preserve">and country </w:t>
      </w:r>
      <w:r w:rsidR="00693288" w:rsidRPr="00D125EC">
        <w:rPr>
          <w:rFonts w:ascii="Arial" w:hAnsi="Arial" w:cs="Arial"/>
        </w:rPr>
        <w:t xml:space="preserve">plans </w:t>
      </w:r>
      <w:r w:rsidR="00637836" w:rsidRPr="00D125EC">
        <w:rPr>
          <w:rFonts w:ascii="Arial" w:hAnsi="Arial" w:cs="Arial"/>
        </w:rPr>
        <w:t xml:space="preserve">across </w:t>
      </w:r>
      <w:r w:rsidR="00693288" w:rsidRPr="00D125EC">
        <w:rPr>
          <w:rFonts w:ascii="Arial" w:hAnsi="Arial" w:cs="Arial"/>
        </w:rPr>
        <w:t>the UK</w:t>
      </w:r>
      <w:bookmarkEnd w:id="24"/>
    </w:p>
    <w:p w14:paraId="3F2C987C" w14:textId="3A44B659" w:rsidR="009E1AC4" w:rsidRPr="00D125EC" w:rsidRDefault="00F70C60" w:rsidP="008209E1">
      <w:pPr>
        <w:pStyle w:val="Heading2"/>
        <w:rPr>
          <w:rFonts w:ascii="Arial" w:hAnsi="Arial" w:cs="Arial"/>
        </w:rPr>
      </w:pPr>
      <w:bookmarkStart w:id="25" w:name="_Toc198879235"/>
      <w:r>
        <w:rPr>
          <w:rFonts w:ascii="Arial" w:hAnsi="Arial" w:cs="Arial"/>
        </w:rPr>
        <w:t xml:space="preserve">9.1 </w:t>
      </w:r>
      <w:r w:rsidR="009E1AC4" w:rsidRPr="00D125EC">
        <w:rPr>
          <w:rFonts w:ascii="Arial" w:hAnsi="Arial" w:cs="Arial"/>
        </w:rPr>
        <w:t>Introduction</w:t>
      </w:r>
      <w:bookmarkEnd w:id="25"/>
    </w:p>
    <w:p w14:paraId="0FCC8E2A" w14:textId="399D6988" w:rsidR="009A6A92" w:rsidRPr="00D125EC" w:rsidRDefault="00E8461C" w:rsidP="00D125EC">
      <w:pPr>
        <w:pStyle w:val="Heading3"/>
        <w:spacing w:line="360" w:lineRule="auto"/>
        <w:rPr>
          <w:rFonts w:ascii="Arial" w:hAnsi="Arial" w:cs="Arial"/>
          <w:sz w:val="24"/>
          <w:szCs w:val="24"/>
        </w:rPr>
      </w:pPr>
      <w:r w:rsidRPr="00D125EC">
        <w:rPr>
          <w:rFonts w:ascii="Arial" w:hAnsi="Arial" w:cs="Arial"/>
          <w:sz w:val="24"/>
          <w:szCs w:val="24"/>
        </w:rPr>
        <w:t>Town p</w:t>
      </w:r>
      <w:r w:rsidR="00464D9C" w:rsidRPr="00D125EC">
        <w:rPr>
          <w:rFonts w:ascii="Arial" w:hAnsi="Arial" w:cs="Arial"/>
          <w:sz w:val="24"/>
          <w:szCs w:val="24"/>
        </w:rPr>
        <w:t xml:space="preserve">lanning </w:t>
      </w:r>
      <w:r w:rsidR="004C5746" w:rsidRPr="00D125EC">
        <w:rPr>
          <w:rFonts w:ascii="Arial" w:hAnsi="Arial" w:cs="Arial"/>
          <w:sz w:val="24"/>
          <w:szCs w:val="24"/>
        </w:rPr>
        <w:t xml:space="preserve">and infrastructure planning </w:t>
      </w:r>
      <w:r w:rsidR="00464D9C" w:rsidRPr="00D125EC">
        <w:rPr>
          <w:rFonts w:ascii="Arial" w:hAnsi="Arial" w:cs="Arial"/>
          <w:sz w:val="24"/>
          <w:szCs w:val="24"/>
        </w:rPr>
        <w:t>across the UK</w:t>
      </w:r>
    </w:p>
    <w:p w14:paraId="2E0D424D" w14:textId="391830FE" w:rsidR="00B0742D" w:rsidRPr="00D125EC" w:rsidRDefault="00B0742D" w:rsidP="00D125EC">
      <w:pPr>
        <w:spacing w:line="360" w:lineRule="auto"/>
        <w:rPr>
          <w:rFonts w:ascii="Arial" w:hAnsi="Arial" w:cs="Arial"/>
          <w:sz w:val="24"/>
          <w:szCs w:val="24"/>
        </w:rPr>
      </w:pPr>
      <w:r w:rsidRPr="00D125EC">
        <w:rPr>
          <w:rFonts w:ascii="Arial" w:hAnsi="Arial" w:cs="Arial"/>
          <w:sz w:val="24"/>
          <w:szCs w:val="24"/>
        </w:rPr>
        <w:t>In this resource, and across the rest of this suit</w:t>
      </w:r>
      <w:r w:rsidR="00DD79C7" w:rsidRPr="00D125EC">
        <w:rPr>
          <w:rFonts w:ascii="Arial" w:hAnsi="Arial" w:cs="Arial"/>
          <w:sz w:val="24"/>
          <w:szCs w:val="24"/>
        </w:rPr>
        <w:t>e, we use the term</w:t>
      </w:r>
      <w:r w:rsidR="00BA5442" w:rsidRPr="00D125EC">
        <w:rPr>
          <w:rFonts w:ascii="Arial" w:hAnsi="Arial" w:cs="Arial"/>
          <w:sz w:val="24"/>
          <w:szCs w:val="24"/>
        </w:rPr>
        <w:t>s</w:t>
      </w:r>
      <w:r w:rsidR="00DD79C7" w:rsidRPr="00D125EC">
        <w:rPr>
          <w:rFonts w:ascii="Arial" w:hAnsi="Arial" w:cs="Arial"/>
          <w:sz w:val="24"/>
          <w:szCs w:val="24"/>
        </w:rPr>
        <w:t xml:space="preserve"> ‘town planning’ (as a contraction of ‘town and country planning’)</w:t>
      </w:r>
      <w:r w:rsidR="00BA5442" w:rsidRPr="00D125EC">
        <w:rPr>
          <w:rFonts w:ascii="Arial" w:hAnsi="Arial" w:cs="Arial"/>
          <w:sz w:val="24"/>
          <w:szCs w:val="24"/>
        </w:rPr>
        <w:t xml:space="preserve"> or ‘infrastructure planning’</w:t>
      </w:r>
      <w:r w:rsidR="00DD79C7" w:rsidRPr="00D125EC">
        <w:rPr>
          <w:rFonts w:ascii="Arial" w:hAnsi="Arial" w:cs="Arial"/>
          <w:sz w:val="24"/>
          <w:szCs w:val="24"/>
        </w:rPr>
        <w:t xml:space="preserve"> to refer to the UK’s formal planning systems. </w:t>
      </w:r>
    </w:p>
    <w:p w14:paraId="3DC7E931" w14:textId="2F0A5143" w:rsidR="00B34C0F" w:rsidRPr="00D125EC" w:rsidRDefault="00160707" w:rsidP="00D125EC">
      <w:pPr>
        <w:spacing w:line="360" w:lineRule="auto"/>
        <w:rPr>
          <w:rFonts w:ascii="Arial" w:hAnsi="Arial" w:cs="Arial"/>
          <w:sz w:val="24"/>
          <w:szCs w:val="24"/>
        </w:rPr>
      </w:pPr>
      <w:r w:rsidRPr="00D125EC">
        <w:rPr>
          <w:rFonts w:ascii="Arial" w:hAnsi="Arial" w:cs="Arial"/>
          <w:sz w:val="24"/>
          <w:szCs w:val="24"/>
        </w:rPr>
        <w:t xml:space="preserve">All of the </w:t>
      </w:r>
      <w:r w:rsidR="00693288" w:rsidRPr="00D125EC">
        <w:rPr>
          <w:rFonts w:ascii="Arial" w:hAnsi="Arial" w:cs="Arial"/>
          <w:sz w:val="24"/>
          <w:szCs w:val="24"/>
        </w:rPr>
        <w:t xml:space="preserve">UK nations </w:t>
      </w:r>
      <w:r w:rsidR="00FE4B4E" w:rsidRPr="00D125EC">
        <w:rPr>
          <w:rFonts w:ascii="Arial" w:hAnsi="Arial" w:cs="Arial"/>
          <w:sz w:val="24"/>
          <w:szCs w:val="24"/>
        </w:rPr>
        <w:t xml:space="preserve">have </w:t>
      </w:r>
      <w:r w:rsidR="00693288" w:rsidRPr="00D125EC">
        <w:rPr>
          <w:rFonts w:ascii="Arial" w:hAnsi="Arial" w:cs="Arial"/>
          <w:sz w:val="24"/>
          <w:szCs w:val="24"/>
        </w:rPr>
        <w:t xml:space="preserve">plan-led </w:t>
      </w:r>
      <w:r w:rsidR="004C5746" w:rsidRPr="00D125EC">
        <w:rPr>
          <w:rFonts w:ascii="Arial" w:hAnsi="Arial" w:cs="Arial"/>
          <w:sz w:val="24"/>
          <w:szCs w:val="24"/>
        </w:rPr>
        <w:t xml:space="preserve">town </w:t>
      </w:r>
      <w:r w:rsidR="00FE4B4E" w:rsidRPr="00D125EC">
        <w:rPr>
          <w:rFonts w:ascii="Arial" w:hAnsi="Arial" w:cs="Arial"/>
          <w:sz w:val="24"/>
          <w:szCs w:val="24"/>
        </w:rPr>
        <w:t xml:space="preserve">planning </w:t>
      </w:r>
      <w:r w:rsidR="00693288" w:rsidRPr="00D125EC">
        <w:rPr>
          <w:rFonts w:ascii="Arial" w:hAnsi="Arial" w:cs="Arial"/>
          <w:sz w:val="24"/>
          <w:szCs w:val="24"/>
        </w:rPr>
        <w:t>system</w:t>
      </w:r>
      <w:r w:rsidR="00FE4B4E" w:rsidRPr="00D125EC">
        <w:rPr>
          <w:rFonts w:ascii="Arial" w:hAnsi="Arial" w:cs="Arial"/>
          <w:sz w:val="24"/>
          <w:szCs w:val="24"/>
        </w:rPr>
        <w:t>s</w:t>
      </w:r>
      <w:r w:rsidR="00693288" w:rsidRPr="00D125EC">
        <w:rPr>
          <w:rFonts w:ascii="Arial" w:hAnsi="Arial" w:cs="Arial"/>
          <w:sz w:val="24"/>
          <w:szCs w:val="24"/>
        </w:rPr>
        <w:t xml:space="preserve">, meaning that development is guided by </w:t>
      </w:r>
      <w:r w:rsidR="005962FC" w:rsidRPr="00D125EC">
        <w:rPr>
          <w:rFonts w:ascii="Arial" w:hAnsi="Arial" w:cs="Arial"/>
          <w:sz w:val="24"/>
          <w:szCs w:val="24"/>
        </w:rPr>
        <w:t>developm</w:t>
      </w:r>
      <w:r w:rsidR="00B336DB" w:rsidRPr="00D125EC">
        <w:rPr>
          <w:rFonts w:ascii="Arial" w:hAnsi="Arial" w:cs="Arial"/>
          <w:sz w:val="24"/>
          <w:szCs w:val="24"/>
        </w:rPr>
        <w:t>ent</w:t>
      </w:r>
      <w:r w:rsidR="005962FC" w:rsidRPr="00D125EC">
        <w:rPr>
          <w:rFonts w:ascii="Arial" w:hAnsi="Arial" w:cs="Arial"/>
          <w:sz w:val="24"/>
          <w:szCs w:val="24"/>
        </w:rPr>
        <w:t xml:space="preserve"> </w:t>
      </w:r>
      <w:r w:rsidR="00693288" w:rsidRPr="00D125EC">
        <w:rPr>
          <w:rFonts w:ascii="Arial" w:hAnsi="Arial" w:cs="Arial"/>
          <w:sz w:val="24"/>
          <w:szCs w:val="24"/>
        </w:rPr>
        <w:t xml:space="preserve">plans. These plans carry </w:t>
      </w:r>
      <w:r w:rsidRPr="00D125EC">
        <w:rPr>
          <w:rFonts w:ascii="Arial" w:hAnsi="Arial" w:cs="Arial"/>
          <w:sz w:val="24"/>
          <w:szCs w:val="24"/>
        </w:rPr>
        <w:t>a significant amount of</w:t>
      </w:r>
      <w:r w:rsidR="00693288" w:rsidRPr="00D125EC">
        <w:rPr>
          <w:rFonts w:ascii="Arial" w:hAnsi="Arial" w:cs="Arial"/>
          <w:sz w:val="24"/>
          <w:szCs w:val="24"/>
        </w:rPr>
        <w:t xml:space="preserve"> weight in planning decisions, although they must </w:t>
      </w:r>
      <w:r w:rsidR="003A18EC" w:rsidRPr="00D125EC">
        <w:rPr>
          <w:rFonts w:ascii="Arial" w:hAnsi="Arial" w:cs="Arial"/>
          <w:sz w:val="24"/>
          <w:szCs w:val="24"/>
        </w:rPr>
        <w:t xml:space="preserve">generally </w:t>
      </w:r>
      <w:r w:rsidR="00693288" w:rsidRPr="00D125EC">
        <w:rPr>
          <w:rFonts w:ascii="Arial" w:hAnsi="Arial" w:cs="Arial"/>
          <w:sz w:val="24"/>
          <w:szCs w:val="24"/>
        </w:rPr>
        <w:t xml:space="preserve">conform to </w:t>
      </w:r>
      <w:r w:rsidR="003A18EC" w:rsidRPr="00D125EC">
        <w:rPr>
          <w:rFonts w:ascii="Arial" w:hAnsi="Arial" w:cs="Arial"/>
          <w:sz w:val="24"/>
          <w:szCs w:val="24"/>
        </w:rPr>
        <w:t xml:space="preserve">national policy </w:t>
      </w:r>
      <w:r w:rsidR="00693288" w:rsidRPr="00D125EC">
        <w:rPr>
          <w:rFonts w:ascii="Arial" w:hAnsi="Arial" w:cs="Arial"/>
          <w:sz w:val="24"/>
          <w:szCs w:val="24"/>
        </w:rPr>
        <w:t xml:space="preserve">– such as the NPPF in England and SPPS in Northern Ireland –  in their preparation. </w:t>
      </w:r>
    </w:p>
    <w:p w14:paraId="479AB4C8" w14:textId="4CF07F2C" w:rsidR="00423F99"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In Scotland, the development plan consists of the National Planning Framework (NPF4) and the relevant local development plan (LDP). </w:t>
      </w:r>
    </w:p>
    <w:p w14:paraId="6EAF2C1B" w14:textId="11C404F5" w:rsidR="00423F99" w:rsidRPr="00D125EC" w:rsidRDefault="00693288" w:rsidP="00D125EC">
      <w:pPr>
        <w:spacing w:line="360" w:lineRule="auto"/>
        <w:rPr>
          <w:rFonts w:ascii="Arial" w:hAnsi="Arial" w:cs="Arial"/>
          <w:sz w:val="24"/>
          <w:szCs w:val="24"/>
        </w:rPr>
      </w:pPr>
      <w:r w:rsidRPr="00D125EC">
        <w:rPr>
          <w:rFonts w:ascii="Arial" w:hAnsi="Arial" w:cs="Arial"/>
          <w:sz w:val="24"/>
          <w:szCs w:val="24"/>
        </w:rPr>
        <w:lastRenderedPageBreak/>
        <w:t>In Wales, Future Wales: the national plan 2040, the Strategic Development Plan (which covers a larger-than-local area) and the local development plan together form the development plan. At the time of writing, no Strategic Development Plans ha</w:t>
      </w:r>
      <w:r w:rsidR="00D16254" w:rsidRPr="00D125EC">
        <w:rPr>
          <w:rFonts w:ascii="Arial" w:hAnsi="Arial" w:cs="Arial"/>
          <w:sz w:val="24"/>
          <w:szCs w:val="24"/>
        </w:rPr>
        <w:t>ve yet</w:t>
      </w:r>
      <w:r w:rsidRPr="00D125EC">
        <w:rPr>
          <w:rFonts w:ascii="Arial" w:hAnsi="Arial" w:cs="Arial"/>
          <w:sz w:val="24"/>
          <w:szCs w:val="24"/>
        </w:rPr>
        <w:t xml:space="preserve"> been adopted</w:t>
      </w:r>
    </w:p>
    <w:p w14:paraId="5BDFBC30" w14:textId="44246044"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In England, </w:t>
      </w:r>
      <w:r w:rsidR="000D3BB3" w:rsidRPr="00D125EC">
        <w:rPr>
          <w:rFonts w:ascii="Arial" w:hAnsi="Arial" w:cs="Arial"/>
          <w:sz w:val="24"/>
          <w:szCs w:val="24"/>
        </w:rPr>
        <w:t xml:space="preserve">under reforms contained in the </w:t>
      </w:r>
      <w:r w:rsidR="00014EF8" w:rsidRPr="00D125EC">
        <w:rPr>
          <w:rFonts w:ascii="Arial" w:hAnsi="Arial" w:cs="Arial"/>
          <w:sz w:val="24"/>
          <w:szCs w:val="24"/>
        </w:rPr>
        <w:t>Levelling Up and Regeneration Act</w:t>
      </w:r>
      <w:r w:rsidR="00EC5276" w:rsidRPr="00D125EC">
        <w:rPr>
          <w:rFonts w:ascii="Arial" w:hAnsi="Arial" w:cs="Arial"/>
          <w:sz w:val="24"/>
          <w:szCs w:val="24"/>
        </w:rPr>
        <w:t xml:space="preserve"> 2023 </w:t>
      </w:r>
      <w:hyperlink r:id="rId35" w:history="1">
        <w:r w:rsidR="00EC5276" w:rsidRPr="00D125EC">
          <w:rPr>
            <w:rStyle w:val="Hyperlink"/>
            <w:rFonts w:ascii="Arial" w:hAnsi="Arial" w:cs="Arial"/>
            <w:sz w:val="24"/>
            <w:szCs w:val="24"/>
          </w:rPr>
          <w:t>(legislation.gov.uk, 2023)</w:t>
        </w:r>
      </w:hyperlink>
      <w:r w:rsidR="00BD57C6" w:rsidRPr="00D125EC">
        <w:rPr>
          <w:rFonts w:ascii="Arial" w:hAnsi="Arial" w:cs="Arial"/>
          <w:sz w:val="24"/>
          <w:szCs w:val="24"/>
        </w:rPr>
        <w:t xml:space="preserve">, the development plan comprises </w:t>
      </w:r>
      <w:r w:rsidRPr="00D125EC">
        <w:rPr>
          <w:rFonts w:ascii="Arial" w:hAnsi="Arial" w:cs="Arial"/>
          <w:sz w:val="24"/>
          <w:szCs w:val="24"/>
        </w:rPr>
        <w:t>the relevant Spatial Development Strategy, local plan, minerals and waste plan</w:t>
      </w:r>
      <w:r w:rsidR="00591254" w:rsidRPr="00D125EC">
        <w:rPr>
          <w:rFonts w:ascii="Arial" w:hAnsi="Arial" w:cs="Arial"/>
          <w:sz w:val="24"/>
          <w:szCs w:val="24"/>
        </w:rPr>
        <w:t>, supplementary plan</w:t>
      </w:r>
      <w:r w:rsidRPr="00D125EC">
        <w:rPr>
          <w:rFonts w:ascii="Arial" w:hAnsi="Arial" w:cs="Arial"/>
          <w:sz w:val="24"/>
          <w:szCs w:val="24"/>
        </w:rPr>
        <w:t xml:space="preserve"> and</w:t>
      </w:r>
      <w:r w:rsidR="00886348" w:rsidRPr="00D125EC">
        <w:rPr>
          <w:rFonts w:ascii="Arial" w:hAnsi="Arial" w:cs="Arial"/>
          <w:sz w:val="24"/>
          <w:szCs w:val="24"/>
        </w:rPr>
        <w:t xml:space="preserve"> any</w:t>
      </w:r>
      <w:r w:rsidRPr="00D125EC">
        <w:rPr>
          <w:rFonts w:ascii="Arial" w:hAnsi="Arial" w:cs="Arial"/>
          <w:sz w:val="24"/>
          <w:szCs w:val="24"/>
        </w:rPr>
        <w:t xml:space="preserve"> neighbourhood plan</w:t>
      </w:r>
      <w:r w:rsidR="00886348" w:rsidRPr="00D125EC">
        <w:rPr>
          <w:rFonts w:ascii="Arial" w:hAnsi="Arial" w:cs="Arial"/>
          <w:sz w:val="24"/>
          <w:szCs w:val="24"/>
        </w:rPr>
        <w:t>s</w:t>
      </w:r>
      <w:r w:rsidRPr="00D125EC">
        <w:rPr>
          <w:rFonts w:ascii="Arial" w:hAnsi="Arial" w:cs="Arial"/>
          <w:sz w:val="24"/>
          <w:szCs w:val="24"/>
        </w:rPr>
        <w:t xml:space="preserve">. </w:t>
      </w:r>
    </w:p>
    <w:p w14:paraId="31436EA8"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In Northern Ireland, each local authority must prepare a local development plan. It must take the SPPS – set out by the Department for Infrastructure – into account. </w:t>
      </w:r>
    </w:p>
    <w:p w14:paraId="65CDC621" w14:textId="19857FE9" w:rsidR="00423F99" w:rsidRPr="00D125EC" w:rsidRDefault="009A6A92" w:rsidP="00D125EC">
      <w:pPr>
        <w:pStyle w:val="Heading3"/>
        <w:spacing w:line="360" w:lineRule="auto"/>
        <w:rPr>
          <w:rFonts w:ascii="Arial" w:hAnsi="Arial" w:cs="Arial"/>
          <w:sz w:val="24"/>
          <w:szCs w:val="24"/>
        </w:rPr>
      </w:pPr>
      <w:r w:rsidRPr="00D125EC">
        <w:rPr>
          <w:rFonts w:ascii="Arial" w:hAnsi="Arial" w:cs="Arial"/>
          <w:sz w:val="24"/>
          <w:szCs w:val="24"/>
        </w:rPr>
        <w:t>Outside planning systems</w:t>
      </w:r>
    </w:p>
    <w:p w14:paraId="2ED7E0FD" w14:textId="0AFDFC6F" w:rsidR="004A17BC" w:rsidRPr="00D125EC" w:rsidRDefault="003E4D06" w:rsidP="00D125EC">
      <w:pPr>
        <w:spacing w:line="360" w:lineRule="auto"/>
        <w:rPr>
          <w:rFonts w:ascii="Arial" w:hAnsi="Arial" w:cs="Arial"/>
          <w:sz w:val="24"/>
          <w:szCs w:val="24"/>
        </w:rPr>
      </w:pPr>
      <w:r w:rsidRPr="00D125EC">
        <w:rPr>
          <w:rFonts w:ascii="Arial" w:hAnsi="Arial" w:cs="Arial"/>
          <w:sz w:val="24"/>
          <w:szCs w:val="24"/>
        </w:rPr>
        <w:t>In this resource</w:t>
      </w:r>
      <w:r w:rsidR="007A354E" w:rsidRPr="00D125EC">
        <w:rPr>
          <w:rFonts w:ascii="Arial" w:hAnsi="Arial" w:cs="Arial"/>
          <w:sz w:val="24"/>
          <w:szCs w:val="24"/>
        </w:rPr>
        <w:t xml:space="preserve"> and elsewhere</w:t>
      </w:r>
      <w:r w:rsidRPr="00D125EC">
        <w:rPr>
          <w:rFonts w:ascii="Arial" w:hAnsi="Arial" w:cs="Arial"/>
          <w:sz w:val="24"/>
          <w:szCs w:val="24"/>
        </w:rPr>
        <w:t xml:space="preserve"> we use the </w:t>
      </w:r>
      <w:r w:rsidR="0037533B" w:rsidRPr="00D125EC">
        <w:rPr>
          <w:rFonts w:ascii="Arial" w:hAnsi="Arial" w:cs="Arial"/>
          <w:sz w:val="24"/>
          <w:szCs w:val="24"/>
        </w:rPr>
        <w:t>term</w:t>
      </w:r>
      <w:r w:rsidR="00E15FBE" w:rsidRPr="00D125EC">
        <w:rPr>
          <w:rFonts w:ascii="Arial" w:hAnsi="Arial" w:cs="Arial"/>
          <w:sz w:val="24"/>
          <w:szCs w:val="24"/>
        </w:rPr>
        <w:t xml:space="preserve"> ‘spatial plans’</w:t>
      </w:r>
      <w:r w:rsidR="007A354E" w:rsidRPr="00D125EC">
        <w:rPr>
          <w:rFonts w:ascii="Arial" w:hAnsi="Arial" w:cs="Arial"/>
          <w:sz w:val="24"/>
          <w:szCs w:val="24"/>
        </w:rPr>
        <w:t>,</w:t>
      </w:r>
      <w:r w:rsidR="00E15FBE" w:rsidRPr="00D125EC">
        <w:rPr>
          <w:rFonts w:ascii="Arial" w:hAnsi="Arial" w:cs="Arial"/>
          <w:sz w:val="24"/>
          <w:szCs w:val="24"/>
        </w:rPr>
        <w:t xml:space="preserve"> </w:t>
      </w:r>
      <w:r w:rsidR="0037533B" w:rsidRPr="00D125EC">
        <w:rPr>
          <w:rFonts w:ascii="Arial" w:hAnsi="Arial" w:cs="Arial"/>
          <w:sz w:val="24"/>
          <w:szCs w:val="24"/>
        </w:rPr>
        <w:t>to refer to plans that shape the location of development</w:t>
      </w:r>
      <w:r w:rsidR="00B57CC5" w:rsidRPr="00D125EC">
        <w:rPr>
          <w:rFonts w:ascii="Arial" w:hAnsi="Arial" w:cs="Arial"/>
          <w:sz w:val="24"/>
          <w:szCs w:val="24"/>
        </w:rPr>
        <w:t>s and infrastructure</w:t>
      </w:r>
      <w:r w:rsidR="008E3449" w:rsidRPr="00D125EC">
        <w:rPr>
          <w:rFonts w:ascii="Arial" w:hAnsi="Arial" w:cs="Arial"/>
          <w:sz w:val="24"/>
          <w:szCs w:val="24"/>
        </w:rPr>
        <w:t>,</w:t>
      </w:r>
      <w:r w:rsidR="0037533B" w:rsidRPr="00D125EC">
        <w:rPr>
          <w:rFonts w:ascii="Arial" w:hAnsi="Arial" w:cs="Arial"/>
          <w:sz w:val="24"/>
          <w:szCs w:val="24"/>
        </w:rPr>
        <w:t xml:space="preserve"> but</w:t>
      </w:r>
      <w:r w:rsidR="008E3449" w:rsidRPr="00D125EC">
        <w:rPr>
          <w:rFonts w:ascii="Arial" w:hAnsi="Arial" w:cs="Arial"/>
          <w:sz w:val="24"/>
          <w:szCs w:val="24"/>
        </w:rPr>
        <w:t xml:space="preserve"> which</w:t>
      </w:r>
      <w:r w:rsidR="0037533B" w:rsidRPr="00D125EC">
        <w:rPr>
          <w:rFonts w:ascii="Arial" w:hAnsi="Arial" w:cs="Arial"/>
          <w:sz w:val="24"/>
          <w:szCs w:val="24"/>
        </w:rPr>
        <w:t xml:space="preserve"> </w:t>
      </w:r>
      <w:r w:rsidR="00E71F41" w:rsidRPr="00D125EC">
        <w:rPr>
          <w:rFonts w:ascii="Arial" w:hAnsi="Arial" w:cs="Arial"/>
          <w:sz w:val="24"/>
          <w:szCs w:val="24"/>
        </w:rPr>
        <w:t xml:space="preserve">may </w:t>
      </w:r>
      <w:r w:rsidR="0037533B" w:rsidRPr="00D125EC">
        <w:rPr>
          <w:rFonts w:ascii="Arial" w:hAnsi="Arial" w:cs="Arial"/>
          <w:sz w:val="24"/>
          <w:szCs w:val="24"/>
        </w:rPr>
        <w:t xml:space="preserve">not </w:t>
      </w:r>
      <w:r w:rsidR="00014EF8" w:rsidRPr="00D125EC">
        <w:rPr>
          <w:rFonts w:ascii="Arial" w:hAnsi="Arial" w:cs="Arial"/>
          <w:sz w:val="24"/>
          <w:szCs w:val="24"/>
        </w:rPr>
        <w:t xml:space="preserve">formally constitute </w:t>
      </w:r>
      <w:r w:rsidR="00CC2DB4" w:rsidRPr="00D125EC">
        <w:rPr>
          <w:rFonts w:ascii="Arial" w:hAnsi="Arial" w:cs="Arial"/>
          <w:sz w:val="24"/>
          <w:szCs w:val="24"/>
        </w:rPr>
        <w:t xml:space="preserve">part of a development plan or </w:t>
      </w:r>
      <w:r w:rsidR="00D61FC9" w:rsidRPr="00D125EC">
        <w:rPr>
          <w:rFonts w:ascii="Arial" w:hAnsi="Arial" w:cs="Arial"/>
          <w:sz w:val="24"/>
          <w:szCs w:val="24"/>
        </w:rPr>
        <w:t xml:space="preserve">statutory </w:t>
      </w:r>
      <w:r w:rsidR="00CC2DB4" w:rsidRPr="00D125EC">
        <w:rPr>
          <w:rFonts w:ascii="Arial" w:hAnsi="Arial" w:cs="Arial"/>
          <w:sz w:val="24"/>
          <w:szCs w:val="24"/>
        </w:rPr>
        <w:t>planning system.</w:t>
      </w:r>
    </w:p>
    <w:p w14:paraId="782AE449" w14:textId="25E4705D" w:rsidR="003E4D06" w:rsidRPr="00D125EC" w:rsidRDefault="00181008" w:rsidP="00D125EC">
      <w:pPr>
        <w:spacing w:line="360" w:lineRule="auto"/>
        <w:rPr>
          <w:rFonts w:ascii="Arial" w:hAnsi="Arial" w:cs="Arial"/>
          <w:sz w:val="24"/>
          <w:szCs w:val="24"/>
        </w:rPr>
      </w:pPr>
      <w:r w:rsidRPr="00D125EC">
        <w:rPr>
          <w:rFonts w:ascii="Arial" w:hAnsi="Arial" w:cs="Arial"/>
          <w:sz w:val="24"/>
          <w:szCs w:val="24"/>
        </w:rPr>
        <w:t xml:space="preserve">Most forms of energy </w:t>
      </w:r>
      <w:r w:rsidR="0039064C" w:rsidRPr="00D125EC">
        <w:rPr>
          <w:rFonts w:ascii="Arial" w:hAnsi="Arial" w:cs="Arial"/>
          <w:sz w:val="24"/>
          <w:szCs w:val="24"/>
        </w:rPr>
        <w:t>plan</w:t>
      </w:r>
      <w:r w:rsidRPr="00D125EC">
        <w:rPr>
          <w:rFonts w:ascii="Arial" w:hAnsi="Arial" w:cs="Arial"/>
          <w:sz w:val="24"/>
          <w:szCs w:val="24"/>
        </w:rPr>
        <w:t xml:space="preserve"> which we discuss </w:t>
      </w:r>
      <w:r w:rsidR="00616DA4" w:rsidRPr="00D125EC">
        <w:rPr>
          <w:rFonts w:ascii="Arial" w:hAnsi="Arial" w:cs="Arial"/>
          <w:sz w:val="24"/>
          <w:szCs w:val="24"/>
        </w:rPr>
        <w:t xml:space="preserve">here </w:t>
      </w:r>
      <w:r w:rsidRPr="00D125EC">
        <w:rPr>
          <w:rFonts w:ascii="Arial" w:hAnsi="Arial" w:cs="Arial"/>
          <w:sz w:val="24"/>
          <w:szCs w:val="24"/>
        </w:rPr>
        <w:t xml:space="preserve">are </w:t>
      </w:r>
      <w:r w:rsidR="00D30397" w:rsidRPr="00D125EC">
        <w:rPr>
          <w:rFonts w:ascii="Arial" w:hAnsi="Arial" w:cs="Arial"/>
          <w:sz w:val="24"/>
          <w:szCs w:val="24"/>
        </w:rPr>
        <w:t>types of spatial planning, rather than</w:t>
      </w:r>
      <w:r w:rsidR="006D03BB" w:rsidRPr="00D125EC">
        <w:rPr>
          <w:rFonts w:ascii="Arial" w:hAnsi="Arial" w:cs="Arial"/>
          <w:sz w:val="24"/>
          <w:szCs w:val="24"/>
        </w:rPr>
        <w:t xml:space="preserve"> infrastructure planning or</w:t>
      </w:r>
      <w:r w:rsidR="00D30397" w:rsidRPr="00D125EC">
        <w:rPr>
          <w:rFonts w:ascii="Arial" w:hAnsi="Arial" w:cs="Arial"/>
          <w:sz w:val="24"/>
          <w:szCs w:val="24"/>
        </w:rPr>
        <w:t xml:space="preserve"> town planning</w:t>
      </w:r>
      <w:r w:rsidR="004A17BC" w:rsidRPr="00D125EC">
        <w:rPr>
          <w:rFonts w:ascii="Arial" w:hAnsi="Arial" w:cs="Arial"/>
          <w:sz w:val="24"/>
          <w:szCs w:val="24"/>
        </w:rPr>
        <w:t xml:space="preserve">, </w:t>
      </w:r>
      <w:r w:rsidR="006D03BB" w:rsidRPr="00D125EC">
        <w:rPr>
          <w:rFonts w:ascii="Arial" w:hAnsi="Arial" w:cs="Arial"/>
          <w:sz w:val="24"/>
          <w:szCs w:val="24"/>
        </w:rPr>
        <w:t>though it is important to note that</w:t>
      </w:r>
      <w:r w:rsidR="00616DA4" w:rsidRPr="00D125EC">
        <w:rPr>
          <w:rFonts w:ascii="Arial" w:hAnsi="Arial" w:cs="Arial"/>
          <w:sz w:val="24"/>
          <w:szCs w:val="24"/>
        </w:rPr>
        <w:t xml:space="preserve"> plans that constitute part of </w:t>
      </w:r>
      <w:r w:rsidR="006D03BB" w:rsidRPr="00D125EC">
        <w:rPr>
          <w:rFonts w:ascii="Arial" w:hAnsi="Arial" w:cs="Arial"/>
          <w:sz w:val="24"/>
          <w:szCs w:val="24"/>
        </w:rPr>
        <w:t xml:space="preserve">the </w:t>
      </w:r>
      <w:r w:rsidR="00616DA4" w:rsidRPr="00D125EC">
        <w:rPr>
          <w:rFonts w:ascii="Arial" w:hAnsi="Arial" w:cs="Arial"/>
          <w:sz w:val="24"/>
          <w:szCs w:val="24"/>
        </w:rPr>
        <w:t>town planning system may well contain energy-related policy</w:t>
      </w:r>
      <w:r w:rsidR="00D30397" w:rsidRPr="00D125EC">
        <w:rPr>
          <w:rFonts w:ascii="Arial" w:hAnsi="Arial" w:cs="Arial"/>
          <w:sz w:val="24"/>
          <w:szCs w:val="24"/>
        </w:rPr>
        <w:t>.</w:t>
      </w:r>
    </w:p>
    <w:p w14:paraId="3A5A2AF1" w14:textId="3101BA89" w:rsidR="00693288" w:rsidRPr="00D125EC" w:rsidRDefault="00CC2DB4" w:rsidP="00D125EC">
      <w:pPr>
        <w:spacing w:line="360" w:lineRule="auto"/>
        <w:rPr>
          <w:rFonts w:ascii="Arial" w:hAnsi="Arial" w:cs="Arial"/>
          <w:sz w:val="24"/>
          <w:szCs w:val="24"/>
        </w:rPr>
      </w:pPr>
      <w:r w:rsidRPr="00D125EC">
        <w:rPr>
          <w:rFonts w:ascii="Arial" w:hAnsi="Arial" w:cs="Arial"/>
          <w:sz w:val="24"/>
          <w:szCs w:val="24"/>
        </w:rPr>
        <w:t>One example</w:t>
      </w:r>
      <w:r w:rsidR="005872DA" w:rsidRPr="00D125EC">
        <w:rPr>
          <w:rFonts w:ascii="Arial" w:hAnsi="Arial" w:cs="Arial"/>
          <w:sz w:val="24"/>
          <w:szCs w:val="24"/>
        </w:rPr>
        <w:t xml:space="preserve"> of a spatial plan which will shape development while not being part of a town planning or infrastructure planning system</w:t>
      </w:r>
      <w:r w:rsidRPr="00D125EC">
        <w:rPr>
          <w:rFonts w:ascii="Arial" w:hAnsi="Arial" w:cs="Arial"/>
          <w:sz w:val="24"/>
          <w:szCs w:val="24"/>
        </w:rPr>
        <w:t xml:space="preserve"> is </w:t>
      </w:r>
      <w:r w:rsidR="00F76993" w:rsidRPr="00D125EC">
        <w:rPr>
          <w:rFonts w:ascii="Arial" w:hAnsi="Arial" w:cs="Arial"/>
          <w:sz w:val="24"/>
          <w:szCs w:val="24"/>
        </w:rPr>
        <w:t xml:space="preserve">National Energy System Operator’s </w:t>
      </w:r>
      <w:r w:rsidR="00693288" w:rsidRPr="00D125EC">
        <w:rPr>
          <w:rFonts w:ascii="Arial" w:hAnsi="Arial" w:cs="Arial"/>
          <w:sz w:val="24"/>
          <w:szCs w:val="24"/>
        </w:rPr>
        <w:t>Strategic Spatial Energy Plan (SSEP)</w:t>
      </w:r>
      <w:r w:rsidR="00F76993" w:rsidRPr="00D125EC">
        <w:rPr>
          <w:rFonts w:ascii="Arial" w:hAnsi="Arial" w:cs="Arial"/>
          <w:sz w:val="24"/>
          <w:szCs w:val="24"/>
        </w:rPr>
        <w:t xml:space="preserve">. </w:t>
      </w:r>
      <w:r w:rsidR="005872DA" w:rsidRPr="00D125EC">
        <w:rPr>
          <w:rFonts w:ascii="Arial" w:hAnsi="Arial" w:cs="Arial"/>
          <w:sz w:val="24"/>
          <w:szCs w:val="24"/>
        </w:rPr>
        <w:t xml:space="preserve">This </w:t>
      </w:r>
      <w:r w:rsidR="00F76993" w:rsidRPr="00D125EC">
        <w:rPr>
          <w:rFonts w:ascii="Arial" w:hAnsi="Arial" w:cs="Arial"/>
          <w:sz w:val="24"/>
          <w:szCs w:val="24"/>
        </w:rPr>
        <w:t>is</w:t>
      </w:r>
      <w:r w:rsidR="00693288" w:rsidRPr="00D125EC">
        <w:rPr>
          <w:rFonts w:ascii="Arial" w:hAnsi="Arial" w:cs="Arial"/>
          <w:sz w:val="24"/>
          <w:szCs w:val="24"/>
        </w:rPr>
        <w:t xml:space="preserve"> currently under development</w:t>
      </w:r>
      <w:r w:rsidR="00F76993" w:rsidRPr="00D125EC">
        <w:rPr>
          <w:rFonts w:ascii="Arial" w:hAnsi="Arial" w:cs="Arial"/>
          <w:sz w:val="24"/>
          <w:szCs w:val="24"/>
        </w:rPr>
        <w:t xml:space="preserve"> but</w:t>
      </w:r>
      <w:r w:rsidR="005872DA" w:rsidRPr="00D125EC">
        <w:rPr>
          <w:rFonts w:ascii="Arial" w:hAnsi="Arial" w:cs="Arial"/>
          <w:sz w:val="24"/>
          <w:szCs w:val="24"/>
        </w:rPr>
        <w:t xml:space="preserve"> once in place</w:t>
      </w:r>
      <w:r w:rsidR="00F76993" w:rsidRPr="00D125EC">
        <w:rPr>
          <w:rFonts w:ascii="Arial" w:hAnsi="Arial" w:cs="Arial"/>
          <w:sz w:val="24"/>
          <w:szCs w:val="24"/>
        </w:rPr>
        <w:t xml:space="preserve"> </w:t>
      </w:r>
      <w:r w:rsidRPr="00D125EC">
        <w:rPr>
          <w:rFonts w:ascii="Arial" w:hAnsi="Arial" w:cs="Arial"/>
          <w:sz w:val="24"/>
          <w:szCs w:val="24"/>
        </w:rPr>
        <w:t>will</w:t>
      </w:r>
      <w:r w:rsidR="00693288" w:rsidRPr="00D125EC">
        <w:rPr>
          <w:rFonts w:ascii="Arial" w:hAnsi="Arial" w:cs="Arial"/>
          <w:sz w:val="24"/>
          <w:szCs w:val="24"/>
        </w:rPr>
        <w:t xml:space="preserve"> provide spatial guidance </w:t>
      </w:r>
      <w:r w:rsidR="00FB570C" w:rsidRPr="00D125EC">
        <w:rPr>
          <w:rFonts w:ascii="Arial" w:hAnsi="Arial" w:cs="Arial"/>
          <w:sz w:val="24"/>
          <w:szCs w:val="24"/>
        </w:rPr>
        <w:t xml:space="preserve">on </w:t>
      </w:r>
      <w:r w:rsidR="00693288" w:rsidRPr="00D125EC">
        <w:rPr>
          <w:rFonts w:ascii="Arial" w:hAnsi="Arial" w:cs="Arial"/>
          <w:sz w:val="24"/>
          <w:szCs w:val="24"/>
        </w:rPr>
        <w:t xml:space="preserve">the location of energy infrastructure development across Great Britain. Following that, </w:t>
      </w:r>
      <w:r w:rsidR="00F76993" w:rsidRPr="00D125EC">
        <w:rPr>
          <w:rFonts w:ascii="Arial" w:hAnsi="Arial" w:cs="Arial"/>
          <w:sz w:val="24"/>
          <w:szCs w:val="24"/>
        </w:rPr>
        <w:t xml:space="preserve">NESO will also publish a </w:t>
      </w:r>
      <w:r w:rsidR="00693288" w:rsidRPr="00D125EC">
        <w:rPr>
          <w:rFonts w:ascii="Arial" w:hAnsi="Arial" w:cs="Arial"/>
          <w:sz w:val="24"/>
          <w:szCs w:val="24"/>
        </w:rPr>
        <w:t>Centralised Strategic Network Plan (CSNP)</w:t>
      </w:r>
      <w:r w:rsidR="00F76993" w:rsidRPr="00D125EC">
        <w:rPr>
          <w:rFonts w:ascii="Arial" w:hAnsi="Arial" w:cs="Arial"/>
          <w:sz w:val="24"/>
          <w:szCs w:val="24"/>
        </w:rPr>
        <w:t>, which</w:t>
      </w:r>
      <w:r w:rsidR="00693288" w:rsidRPr="00D125EC">
        <w:rPr>
          <w:rFonts w:ascii="Arial" w:hAnsi="Arial" w:cs="Arial"/>
          <w:sz w:val="24"/>
          <w:szCs w:val="24"/>
        </w:rPr>
        <w:t xml:space="preserve"> will be published to coordinate the future development of electricity transmission network. </w:t>
      </w:r>
      <w:r w:rsidR="00A958C0" w:rsidRPr="00D125EC">
        <w:rPr>
          <w:rFonts w:ascii="Arial" w:hAnsi="Arial" w:cs="Arial"/>
          <w:sz w:val="24"/>
          <w:szCs w:val="24"/>
        </w:rPr>
        <w:t>Also covering Great Britain</w:t>
      </w:r>
      <w:r w:rsidR="00693288" w:rsidRPr="00D125EC">
        <w:rPr>
          <w:rFonts w:ascii="Arial" w:hAnsi="Arial" w:cs="Arial"/>
          <w:sz w:val="24"/>
          <w:szCs w:val="24"/>
        </w:rPr>
        <w:t>, it is expected that</w:t>
      </w:r>
      <w:r w:rsidR="00A958C0" w:rsidRPr="00D125EC">
        <w:rPr>
          <w:rFonts w:ascii="Arial" w:hAnsi="Arial" w:cs="Arial"/>
          <w:sz w:val="24"/>
          <w:szCs w:val="24"/>
        </w:rPr>
        <w:t xml:space="preserve"> NESO will also produce</w:t>
      </w:r>
      <w:r w:rsidR="00693288" w:rsidRPr="00D125EC">
        <w:rPr>
          <w:rFonts w:ascii="Arial" w:hAnsi="Arial" w:cs="Arial"/>
          <w:sz w:val="24"/>
          <w:szCs w:val="24"/>
        </w:rPr>
        <w:t xml:space="preserve"> Regional Energy Strategic Plans (RESPs)</w:t>
      </w:r>
      <w:r w:rsidR="5385BC4B" w:rsidRPr="00D125EC">
        <w:rPr>
          <w:rFonts w:ascii="Arial" w:hAnsi="Arial" w:cs="Arial"/>
          <w:sz w:val="24"/>
          <w:szCs w:val="24"/>
        </w:rPr>
        <w:t xml:space="preserve"> which </w:t>
      </w:r>
      <w:r w:rsidR="00693288" w:rsidRPr="00D125EC">
        <w:rPr>
          <w:rFonts w:ascii="Arial" w:hAnsi="Arial" w:cs="Arial"/>
          <w:sz w:val="24"/>
          <w:szCs w:val="24"/>
        </w:rPr>
        <w:t>will be prepared to ensure regional coordination of the energy network.</w:t>
      </w:r>
    </w:p>
    <w:p w14:paraId="76E3F3F0" w14:textId="2A5DD6C3"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In England, the</w:t>
      </w:r>
      <w:r w:rsidR="00D755B4" w:rsidRPr="00D125EC">
        <w:rPr>
          <w:rFonts w:ascii="Arial" w:hAnsi="Arial" w:cs="Arial"/>
          <w:sz w:val="24"/>
          <w:szCs w:val="24"/>
        </w:rPr>
        <w:t xml:space="preserve"> UK Government is developing a</w:t>
      </w:r>
      <w:r w:rsidRPr="00D125EC">
        <w:rPr>
          <w:rFonts w:ascii="Arial" w:hAnsi="Arial" w:cs="Arial"/>
          <w:sz w:val="24"/>
          <w:szCs w:val="24"/>
        </w:rPr>
        <w:t xml:space="preserve"> Land Use Framework</w:t>
      </w:r>
      <w:r w:rsidR="00D755B4" w:rsidRPr="00D125EC">
        <w:rPr>
          <w:rFonts w:ascii="Arial" w:hAnsi="Arial" w:cs="Arial"/>
          <w:sz w:val="24"/>
          <w:szCs w:val="24"/>
        </w:rPr>
        <w:t xml:space="preserve"> </w:t>
      </w:r>
      <w:hyperlink r:id="rId36" w:history="1">
        <w:r w:rsidR="00D755B4" w:rsidRPr="00D125EC">
          <w:rPr>
            <w:rStyle w:val="Hyperlink"/>
            <w:rFonts w:ascii="Arial" w:hAnsi="Arial" w:cs="Arial"/>
            <w:sz w:val="24"/>
            <w:szCs w:val="24"/>
          </w:rPr>
          <w:t xml:space="preserve">(Defra, </w:t>
        </w:r>
        <w:r w:rsidR="009C1A1D" w:rsidRPr="00D125EC">
          <w:rPr>
            <w:rStyle w:val="Hyperlink"/>
            <w:rFonts w:ascii="Arial" w:hAnsi="Arial" w:cs="Arial"/>
            <w:sz w:val="24"/>
            <w:szCs w:val="24"/>
          </w:rPr>
          <w:t>2025)</w:t>
        </w:r>
      </w:hyperlink>
      <w:r w:rsidR="00D755B4" w:rsidRPr="00D125EC">
        <w:rPr>
          <w:rFonts w:ascii="Arial" w:hAnsi="Arial" w:cs="Arial"/>
          <w:sz w:val="24"/>
          <w:szCs w:val="24"/>
        </w:rPr>
        <w:t>,</w:t>
      </w:r>
      <w:r w:rsidRPr="00D125EC">
        <w:rPr>
          <w:rFonts w:ascii="Arial" w:hAnsi="Arial" w:cs="Arial"/>
          <w:sz w:val="24"/>
          <w:szCs w:val="24"/>
        </w:rPr>
        <w:t xml:space="preserve"> </w:t>
      </w:r>
      <w:r w:rsidR="00D755B4" w:rsidRPr="00D125EC">
        <w:rPr>
          <w:rFonts w:ascii="Arial" w:hAnsi="Arial" w:cs="Arial"/>
          <w:sz w:val="24"/>
          <w:szCs w:val="24"/>
        </w:rPr>
        <w:t xml:space="preserve">which may </w:t>
      </w:r>
      <w:r w:rsidRPr="00D125EC">
        <w:rPr>
          <w:rFonts w:ascii="Arial" w:hAnsi="Arial" w:cs="Arial"/>
          <w:sz w:val="24"/>
          <w:szCs w:val="24"/>
        </w:rPr>
        <w:t xml:space="preserve">support spatial decision making in local government </w:t>
      </w:r>
      <w:r w:rsidR="009C1A1D" w:rsidRPr="00D125EC">
        <w:rPr>
          <w:rFonts w:ascii="Arial" w:hAnsi="Arial" w:cs="Arial"/>
          <w:sz w:val="24"/>
          <w:szCs w:val="24"/>
        </w:rPr>
        <w:t xml:space="preserve">by </w:t>
      </w:r>
      <w:r w:rsidR="00BA0790" w:rsidRPr="00D125EC">
        <w:rPr>
          <w:rFonts w:ascii="Arial" w:hAnsi="Arial" w:cs="Arial"/>
          <w:sz w:val="24"/>
          <w:szCs w:val="24"/>
        </w:rPr>
        <w:t>providing</w:t>
      </w:r>
      <w:r w:rsidR="009C1A1D" w:rsidRPr="00D125EC">
        <w:rPr>
          <w:rFonts w:ascii="Arial" w:hAnsi="Arial" w:cs="Arial"/>
          <w:sz w:val="24"/>
          <w:szCs w:val="24"/>
        </w:rPr>
        <w:t xml:space="preserve"> </w:t>
      </w:r>
      <w:r w:rsidRPr="00D125EC">
        <w:rPr>
          <w:rFonts w:ascii="Arial" w:hAnsi="Arial" w:cs="Arial"/>
          <w:sz w:val="24"/>
          <w:szCs w:val="24"/>
        </w:rPr>
        <w:t xml:space="preserve">advanced land use data. The ambition is to ensure nature and agricultural land will be protected </w:t>
      </w:r>
      <w:r w:rsidR="005A075D" w:rsidRPr="00D125EC">
        <w:rPr>
          <w:rFonts w:ascii="Arial" w:hAnsi="Arial" w:cs="Arial"/>
          <w:sz w:val="24"/>
          <w:szCs w:val="24"/>
        </w:rPr>
        <w:t>during the government’s drive to meet</w:t>
      </w:r>
      <w:r w:rsidRPr="00D125EC">
        <w:rPr>
          <w:rFonts w:ascii="Arial" w:hAnsi="Arial" w:cs="Arial"/>
          <w:sz w:val="24"/>
          <w:szCs w:val="24"/>
        </w:rPr>
        <w:t xml:space="preserve"> clean power and housebuilding </w:t>
      </w:r>
      <w:r w:rsidRPr="00D125EC">
        <w:rPr>
          <w:rFonts w:ascii="Arial" w:hAnsi="Arial" w:cs="Arial"/>
          <w:sz w:val="24"/>
          <w:szCs w:val="24"/>
        </w:rPr>
        <w:lastRenderedPageBreak/>
        <w:t>targets. A consultation</w:t>
      </w:r>
      <w:r w:rsidR="00FD1718" w:rsidRPr="00D125EC">
        <w:rPr>
          <w:rFonts w:ascii="Arial" w:hAnsi="Arial" w:cs="Arial"/>
          <w:sz w:val="24"/>
          <w:szCs w:val="24"/>
        </w:rPr>
        <w:t xml:space="preserve"> </w:t>
      </w:r>
      <w:r w:rsidRPr="00D125EC">
        <w:rPr>
          <w:rFonts w:ascii="Arial" w:hAnsi="Arial" w:cs="Arial"/>
          <w:sz w:val="24"/>
          <w:szCs w:val="24"/>
        </w:rPr>
        <w:t>was launched in January 2025</w:t>
      </w:r>
      <w:r w:rsidR="001B37F6" w:rsidRPr="00D125EC">
        <w:rPr>
          <w:rFonts w:ascii="Arial" w:hAnsi="Arial" w:cs="Arial"/>
          <w:sz w:val="24"/>
          <w:szCs w:val="24"/>
        </w:rPr>
        <w:t xml:space="preserve"> and </w:t>
      </w:r>
      <w:r w:rsidR="00F802D8" w:rsidRPr="00D125EC">
        <w:rPr>
          <w:rFonts w:ascii="Arial" w:hAnsi="Arial" w:cs="Arial"/>
          <w:sz w:val="24"/>
          <w:szCs w:val="24"/>
        </w:rPr>
        <w:t>closed</w:t>
      </w:r>
      <w:r w:rsidR="001B37F6" w:rsidRPr="00D125EC">
        <w:rPr>
          <w:rFonts w:ascii="Arial" w:hAnsi="Arial" w:cs="Arial"/>
          <w:sz w:val="24"/>
          <w:szCs w:val="24"/>
        </w:rPr>
        <w:t xml:space="preserve"> in April 2025 (‘Land use in England’, </w:t>
      </w:r>
      <w:hyperlink r:id="rId37" w:history="1">
        <w:r w:rsidR="001B37F6" w:rsidRPr="00D125EC">
          <w:rPr>
            <w:rStyle w:val="Hyperlink"/>
            <w:rFonts w:ascii="Arial" w:hAnsi="Arial" w:cs="Arial"/>
            <w:sz w:val="24"/>
            <w:szCs w:val="24"/>
          </w:rPr>
          <w:t>Defra, 2025)</w:t>
        </w:r>
      </w:hyperlink>
      <w:r w:rsidRPr="00D125EC">
        <w:rPr>
          <w:rFonts w:ascii="Arial" w:hAnsi="Arial" w:cs="Arial"/>
          <w:sz w:val="24"/>
          <w:szCs w:val="24"/>
        </w:rPr>
        <w:t>.</w:t>
      </w:r>
    </w:p>
    <w:p w14:paraId="59A4F48C" w14:textId="7818C996" w:rsidR="00DA32B9" w:rsidRPr="00D125EC" w:rsidRDefault="00F70C60" w:rsidP="00A865F3">
      <w:pPr>
        <w:pStyle w:val="Heading2"/>
        <w:rPr>
          <w:rFonts w:ascii="Arial" w:hAnsi="Arial" w:cs="Arial"/>
          <w:highlight w:val="yellow"/>
        </w:rPr>
      </w:pPr>
      <w:bookmarkStart w:id="26" w:name="_Toc198879236"/>
      <w:r>
        <w:rPr>
          <w:rFonts w:ascii="Arial" w:hAnsi="Arial" w:cs="Arial"/>
        </w:rPr>
        <w:t xml:space="preserve">9.2 </w:t>
      </w:r>
      <w:r w:rsidR="00DA32B9" w:rsidRPr="00D125EC">
        <w:rPr>
          <w:rFonts w:ascii="Arial" w:hAnsi="Arial" w:cs="Arial"/>
        </w:rPr>
        <w:t>The rest of this resource</w:t>
      </w:r>
      <w:bookmarkEnd w:id="26"/>
    </w:p>
    <w:p w14:paraId="1294A30E" w14:textId="637D4D51" w:rsidR="007662B4" w:rsidRPr="00D125EC" w:rsidRDefault="00DA32B9" w:rsidP="00D125EC">
      <w:pPr>
        <w:spacing w:line="360" w:lineRule="auto"/>
        <w:rPr>
          <w:rFonts w:ascii="Arial" w:hAnsi="Arial" w:cs="Arial"/>
          <w:sz w:val="24"/>
          <w:szCs w:val="24"/>
        </w:rPr>
      </w:pPr>
      <w:r w:rsidRPr="00D125EC">
        <w:rPr>
          <w:rFonts w:ascii="Arial" w:hAnsi="Arial" w:cs="Arial"/>
          <w:sz w:val="24"/>
          <w:szCs w:val="24"/>
        </w:rPr>
        <w:t>The following part</w:t>
      </w:r>
      <w:r w:rsidR="00BA43E9" w:rsidRPr="00D125EC">
        <w:rPr>
          <w:rFonts w:ascii="Arial" w:hAnsi="Arial" w:cs="Arial"/>
          <w:sz w:val="24"/>
          <w:szCs w:val="24"/>
        </w:rPr>
        <w:t>s of this resource</w:t>
      </w:r>
      <w:r w:rsidR="00D07826" w:rsidRPr="00D125EC">
        <w:rPr>
          <w:rFonts w:ascii="Arial" w:hAnsi="Arial" w:cs="Arial"/>
          <w:sz w:val="24"/>
          <w:szCs w:val="24"/>
        </w:rPr>
        <w:t xml:space="preserve"> describe</w:t>
      </w:r>
      <w:r w:rsidR="00BA43E9" w:rsidRPr="00D125EC">
        <w:rPr>
          <w:rFonts w:ascii="Arial" w:hAnsi="Arial" w:cs="Arial"/>
          <w:sz w:val="24"/>
          <w:szCs w:val="24"/>
        </w:rPr>
        <w:t xml:space="preserve"> </w:t>
      </w:r>
      <w:r w:rsidR="006A5107" w:rsidRPr="00D125EC">
        <w:rPr>
          <w:rFonts w:ascii="Arial" w:hAnsi="Arial" w:cs="Arial"/>
          <w:sz w:val="24"/>
          <w:szCs w:val="24"/>
        </w:rPr>
        <w:t>energy-related</w:t>
      </w:r>
      <w:r w:rsidR="00BA43E9" w:rsidRPr="00D125EC">
        <w:rPr>
          <w:rFonts w:ascii="Arial" w:hAnsi="Arial" w:cs="Arial"/>
          <w:sz w:val="24"/>
          <w:szCs w:val="24"/>
        </w:rPr>
        <w:t xml:space="preserve"> spatial </w:t>
      </w:r>
      <w:r w:rsidR="00D07826" w:rsidRPr="00D125EC">
        <w:rPr>
          <w:rFonts w:ascii="Arial" w:hAnsi="Arial" w:cs="Arial"/>
          <w:sz w:val="24"/>
          <w:szCs w:val="24"/>
        </w:rPr>
        <w:t>plans</w:t>
      </w:r>
      <w:r w:rsidR="007662B4" w:rsidRPr="00D125EC">
        <w:rPr>
          <w:rFonts w:ascii="Arial" w:hAnsi="Arial" w:cs="Arial"/>
          <w:sz w:val="24"/>
          <w:szCs w:val="24"/>
        </w:rPr>
        <w:t>, infrastructure plans, and plans that are parts of town and country planning systems,</w:t>
      </w:r>
      <w:r w:rsidR="00D07826" w:rsidRPr="00D125EC">
        <w:rPr>
          <w:rFonts w:ascii="Arial" w:hAnsi="Arial" w:cs="Arial"/>
          <w:sz w:val="24"/>
          <w:szCs w:val="24"/>
        </w:rPr>
        <w:t xml:space="preserve"> in more detail</w:t>
      </w:r>
      <w:r w:rsidR="008B2F8D" w:rsidRPr="00D125EC">
        <w:rPr>
          <w:rFonts w:ascii="Arial" w:hAnsi="Arial" w:cs="Arial"/>
          <w:sz w:val="24"/>
          <w:szCs w:val="24"/>
        </w:rPr>
        <w:t>.</w:t>
      </w:r>
    </w:p>
    <w:p w14:paraId="1663D534" w14:textId="2D60AC85" w:rsidR="00DA32B9" w:rsidRPr="00D125EC" w:rsidRDefault="008B2F8D" w:rsidP="00D125EC">
      <w:pPr>
        <w:spacing w:line="360" w:lineRule="auto"/>
        <w:rPr>
          <w:rFonts w:ascii="Arial" w:hAnsi="Arial" w:cs="Arial"/>
          <w:sz w:val="24"/>
          <w:szCs w:val="24"/>
        </w:rPr>
      </w:pPr>
      <w:r w:rsidRPr="00D125EC">
        <w:rPr>
          <w:rFonts w:ascii="Arial" w:hAnsi="Arial" w:cs="Arial"/>
          <w:sz w:val="24"/>
          <w:szCs w:val="24"/>
        </w:rPr>
        <w:t>Given the rapidly changing</w:t>
      </w:r>
      <w:r w:rsidR="00BE6626" w:rsidRPr="00D125EC">
        <w:rPr>
          <w:rFonts w:ascii="Arial" w:hAnsi="Arial" w:cs="Arial"/>
          <w:sz w:val="24"/>
          <w:szCs w:val="24"/>
        </w:rPr>
        <w:t xml:space="preserve"> </w:t>
      </w:r>
      <w:r w:rsidR="006A5107" w:rsidRPr="00D125EC">
        <w:rPr>
          <w:rFonts w:ascii="Arial" w:hAnsi="Arial" w:cs="Arial"/>
          <w:sz w:val="24"/>
          <w:szCs w:val="24"/>
        </w:rPr>
        <w:t>local energy</w:t>
      </w:r>
      <w:r w:rsidRPr="00D125EC">
        <w:rPr>
          <w:rFonts w:ascii="Arial" w:hAnsi="Arial" w:cs="Arial"/>
          <w:sz w:val="24"/>
          <w:szCs w:val="24"/>
        </w:rPr>
        <w:t xml:space="preserve"> planning landscape, the final part of this resource then</w:t>
      </w:r>
      <w:r w:rsidR="00B64810" w:rsidRPr="00D125EC">
        <w:rPr>
          <w:rFonts w:ascii="Arial" w:hAnsi="Arial" w:cs="Arial"/>
          <w:sz w:val="24"/>
          <w:szCs w:val="24"/>
        </w:rPr>
        <w:t xml:space="preserve"> provide</w:t>
      </w:r>
      <w:r w:rsidR="006B1E6A">
        <w:rPr>
          <w:rFonts w:ascii="Arial" w:hAnsi="Arial" w:cs="Arial"/>
          <w:sz w:val="24"/>
          <w:szCs w:val="24"/>
        </w:rPr>
        <w:t>s</w:t>
      </w:r>
      <w:r w:rsidR="00B64810" w:rsidRPr="00D125EC">
        <w:rPr>
          <w:rFonts w:ascii="Arial" w:hAnsi="Arial" w:cs="Arial"/>
          <w:sz w:val="24"/>
          <w:szCs w:val="24"/>
        </w:rPr>
        <w:t xml:space="preserve"> a ‘who’s who?’ of key </w:t>
      </w:r>
      <w:r w:rsidR="00BE6626" w:rsidRPr="00D125EC">
        <w:rPr>
          <w:rFonts w:ascii="Arial" w:hAnsi="Arial" w:cs="Arial"/>
          <w:sz w:val="24"/>
          <w:szCs w:val="24"/>
        </w:rPr>
        <w:t>government departments and bodies that operate at the national and regional levels across the UK</w:t>
      </w:r>
      <w:r w:rsidR="00B64810" w:rsidRPr="00D125EC">
        <w:rPr>
          <w:rFonts w:ascii="Arial" w:hAnsi="Arial" w:cs="Arial"/>
          <w:sz w:val="24"/>
          <w:szCs w:val="24"/>
        </w:rPr>
        <w:t>.</w:t>
      </w:r>
    </w:p>
    <w:p w14:paraId="31497024" w14:textId="728671DD" w:rsidR="00693288" w:rsidRPr="00D125EC" w:rsidRDefault="00F70C60" w:rsidP="008209E1">
      <w:pPr>
        <w:pStyle w:val="Heading2"/>
        <w:rPr>
          <w:rFonts w:ascii="Arial" w:hAnsi="Arial" w:cs="Arial"/>
        </w:rPr>
      </w:pPr>
      <w:bookmarkStart w:id="27" w:name="_Toc198879237"/>
      <w:r>
        <w:rPr>
          <w:rFonts w:ascii="Arial" w:hAnsi="Arial" w:cs="Arial"/>
        </w:rPr>
        <w:t xml:space="preserve">9.3 </w:t>
      </w:r>
      <w:r w:rsidR="00693288" w:rsidRPr="00D125EC">
        <w:rPr>
          <w:rFonts w:ascii="Arial" w:hAnsi="Arial" w:cs="Arial"/>
        </w:rPr>
        <w:t>Great Britain</w:t>
      </w:r>
      <w:bookmarkEnd w:id="27"/>
    </w:p>
    <w:p w14:paraId="695FEFBD"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SSEP</w:t>
      </w:r>
    </w:p>
    <w:p w14:paraId="207D1D9F" w14:textId="04F99AF4"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The SSEP – jointly commissioned by the UK, Scottish and Welsh governments – is being developed by NESO. It will focus on the generation and storage of electricity and hydrogen and will enable better planning of the power grid. According to NESO’s consultation document on SSEP’s methodology</w:t>
      </w:r>
      <w:r w:rsidR="009501BE" w:rsidRPr="00D125EC">
        <w:rPr>
          <w:rFonts w:ascii="Arial" w:hAnsi="Arial" w:cs="Arial"/>
          <w:sz w:val="24"/>
          <w:szCs w:val="24"/>
        </w:rPr>
        <w:t xml:space="preserve"> </w:t>
      </w:r>
      <w:hyperlink r:id="rId38" w:history="1">
        <w:r w:rsidR="009501BE" w:rsidRPr="00D125EC">
          <w:rPr>
            <w:rStyle w:val="Hyperlink"/>
            <w:rFonts w:ascii="Arial" w:hAnsi="Arial" w:cs="Arial"/>
            <w:sz w:val="24"/>
            <w:szCs w:val="24"/>
          </w:rPr>
          <w:t>(NESO, 2024)</w:t>
        </w:r>
      </w:hyperlink>
      <w:r w:rsidRPr="00D125EC">
        <w:rPr>
          <w:rFonts w:ascii="Arial" w:hAnsi="Arial" w:cs="Arial"/>
          <w:sz w:val="24"/>
          <w:szCs w:val="24"/>
        </w:rPr>
        <w:t>, the plan will:</w:t>
      </w:r>
    </w:p>
    <w:p w14:paraId="7AE62F2E" w14:textId="62C4F08C" w:rsidR="00693288" w:rsidRPr="00D125EC" w:rsidRDefault="00693288" w:rsidP="00D125EC">
      <w:pPr>
        <w:pStyle w:val="ListParagraph"/>
        <w:numPr>
          <w:ilvl w:val="0"/>
          <w:numId w:val="4"/>
        </w:numPr>
        <w:spacing w:after="200" w:line="360" w:lineRule="auto"/>
        <w:rPr>
          <w:rFonts w:ascii="Arial" w:hAnsi="Arial" w:cs="Arial"/>
          <w:sz w:val="24"/>
          <w:szCs w:val="24"/>
        </w:rPr>
      </w:pPr>
      <w:r w:rsidRPr="00D125EC">
        <w:rPr>
          <w:rFonts w:ascii="Arial" w:hAnsi="Arial" w:cs="Arial"/>
          <w:sz w:val="24"/>
          <w:szCs w:val="24"/>
        </w:rPr>
        <w:t>Reflect UK and devolved government policies for agriculture, the NPPF in England, NPF4 in Scotland and Planning Policy Wale</w:t>
      </w:r>
      <w:r w:rsidR="009501BE" w:rsidRPr="00D125EC">
        <w:rPr>
          <w:rFonts w:ascii="Arial" w:hAnsi="Arial" w:cs="Arial"/>
          <w:sz w:val="24"/>
          <w:szCs w:val="24"/>
        </w:rPr>
        <w:t>s</w:t>
      </w:r>
      <w:r w:rsidRPr="00D125EC">
        <w:rPr>
          <w:rFonts w:ascii="Arial" w:hAnsi="Arial" w:cs="Arial"/>
          <w:sz w:val="24"/>
          <w:szCs w:val="24"/>
        </w:rPr>
        <w:t>;</w:t>
      </w:r>
      <w:r w:rsidR="004233DF" w:rsidRPr="00D125EC">
        <w:rPr>
          <w:rFonts w:ascii="Arial" w:hAnsi="Arial" w:cs="Arial"/>
          <w:sz w:val="24"/>
          <w:szCs w:val="24"/>
        </w:rPr>
        <w:t xml:space="preserve"> and</w:t>
      </w:r>
    </w:p>
    <w:p w14:paraId="6BACF06B" w14:textId="384D1A47" w:rsidR="00693288" w:rsidRPr="00D125EC" w:rsidRDefault="00693288" w:rsidP="00D125EC">
      <w:pPr>
        <w:pStyle w:val="ListParagraph"/>
        <w:numPr>
          <w:ilvl w:val="0"/>
          <w:numId w:val="4"/>
        </w:numPr>
        <w:spacing w:after="200" w:line="360" w:lineRule="auto"/>
        <w:rPr>
          <w:rFonts w:ascii="Arial" w:hAnsi="Arial" w:cs="Arial"/>
          <w:sz w:val="24"/>
          <w:szCs w:val="24"/>
        </w:rPr>
      </w:pPr>
      <w:r w:rsidRPr="00D125EC">
        <w:rPr>
          <w:rFonts w:ascii="Arial" w:hAnsi="Arial" w:cs="Arial"/>
          <w:sz w:val="24"/>
          <w:szCs w:val="24"/>
        </w:rPr>
        <w:t>Provide recommendations for the zonal locations of energy infrastructure, where location and project-specific decisions will be made during subsequent processes</w:t>
      </w:r>
      <w:r w:rsidR="004233DF" w:rsidRPr="00D125EC">
        <w:rPr>
          <w:rFonts w:ascii="Arial" w:hAnsi="Arial" w:cs="Arial"/>
          <w:sz w:val="24"/>
          <w:szCs w:val="24"/>
        </w:rPr>
        <w:t>.</w:t>
      </w:r>
    </w:p>
    <w:p w14:paraId="64902AAF"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CSNP</w:t>
      </w:r>
    </w:p>
    <w:p w14:paraId="09C2787C"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The CSNP will be informed by SSEP, with a focus on the electricity transmission network. It will set out a long-term approach to electricity network planning in Great Britain. </w:t>
      </w:r>
    </w:p>
    <w:p w14:paraId="0494D8A9"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RESPs</w:t>
      </w:r>
    </w:p>
    <w:p w14:paraId="5D4873EE" w14:textId="09892C1B"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RESPs will be developed by up to 13 new bodies across Great Britain to coordinate strategic energy and infrastructure planning, in partnership with local governments. It is envisioned that strategic planning bodies in England, and unitary authorities in Scotland and Wales will feed into these plans. </w:t>
      </w:r>
    </w:p>
    <w:p w14:paraId="3F945591" w14:textId="45A6713D" w:rsidR="00693288" w:rsidRPr="00D125EC" w:rsidRDefault="00F70C60" w:rsidP="008209E1">
      <w:pPr>
        <w:pStyle w:val="Heading2"/>
        <w:rPr>
          <w:rFonts w:ascii="Arial" w:hAnsi="Arial" w:cs="Arial"/>
        </w:rPr>
      </w:pPr>
      <w:bookmarkStart w:id="28" w:name="_Toc198879238"/>
      <w:r>
        <w:rPr>
          <w:rFonts w:ascii="Arial" w:hAnsi="Arial" w:cs="Arial"/>
        </w:rPr>
        <w:lastRenderedPageBreak/>
        <w:t xml:space="preserve">9.4 </w:t>
      </w:r>
      <w:r w:rsidR="00693288" w:rsidRPr="00D125EC">
        <w:rPr>
          <w:rFonts w:ascii="Arial" w:hAnsi="Arial" w:cs="Arial"/>
        </w:rPr>
        <w:t>England</w:t>
      </w:r>
      <w:bookmarkEnd w:id="28"/>
    </w:p>
    <w:p w14:paraId="38A368ED"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Land Use Framework</w:t>
      </w:r>
    </w:p>
    <w:p w14:paraId="4FA30042" w14:textId="12B61357" w:rsidR="00F66D28" w:rsidRPr="00D125EC" w:rsidRDefault="00693288" w:rsidP="00D125EC">
      <w:pPr>
        <w:spacing w:line="360" w:lineRule="auto"/>
        <w:rPr>
          <w:rFonts w:ascii="Arial" w:hAnsi="Arial" w:cs="Arial"/>
          <w:i/>
          <w:iCs/>
          <w:sz w:val="24"/>
          <w:szCs w:val="24"/>
        </w:rPr>
      </w:pPr>
      <w:r w:rsidRPr="00D125EC">
        <w:rPr>
          <w:rFonts w:ascii="Arial" w:hAnsi="Arial" w:cs="Arial"/>
          <w:sz w:val="24"/>
          <w:szCs w:val="24"/>
        </w:rPr>
        <w:t>The Department for Environment, Food and Rural Affairs (</w:t>
      </w:r>
      <w:r w:rsidR="003A0007" w:rsidRPr="00D125EC">
        <w:rPr>
          <w:rFonts w:ascii="Arial" w:hAnsi="Arial" w:cs="Arial"/>
          <w:sz w:val="24"/>
          <w:szCs w:val="24"/>
        </w:rPr>
        <w:t>Defra</w:t>
      </w:r>
      <w:r w:rsidRPr="00D125EC">
        <w:rPr>
          <w:rFonts w:ascii="Arial" w:hAnsi="Arial" w:cs="Arial"/>
          <w:sz w:val="24"/>
          <w:szCs w:val="24"/>
        </w:rPr>
        <w:t>) launched a consultation in January 2025 on land use, which will inform the eventual publication of a Land Use Framework.</w:t>
      </w:r>
      <w:r w:rsidR="00F66D28" w:rsidRPr="00D125EC">
        <w:rPr>
          <w:rFonts w:ascii="Arial" w:hAnsi="Arial" w:cs="Arial"/>
          <w:sz w:val="24"/>
          <w:szCs w:val="24"/>
        </w:rPr>
        <w:t xml:space="preserve"> </w:t>
      </w:r>
    </w:p>
    <w:p w14:paraId="6FFD3059" w14:textId="6E10A1AE"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The consultation’s aim was to ‘create a toolkit to support decision making and inform discussion’ on food security, development, nature recovery and climate goals. </w:t>
      </w:r>
    </w:p>
    <w:p w14:paraId="5F34C7E2"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The Land Use Framework is expected to interact with the SSEP and other government strategies. In the consultation document, the government indicated that the framework will ‘inform decisions, not impose them’. There will be no prescription of specific land uses in specific places.</w:t>
      </w:r>
    </w:p>
    <w:p w14:paraId="06E50531" w14:textId="77777777" w:rsidR="00693288" w:rsidRPr="00D125EC" w:rsidRDefault="00693288" w:rsidP="00D125EC">
      <w:pPr>
        <w:pStyle w:val="Heading3"/>
        <w:spacing w:line="360" w:lineRule="auto"/>
        <w:rPr>
          <w:rFonts w:ascii="Arial" w:hAnsi="Arial" w:cs="Arial"/>
          <w:sz w:val="24"/>
          <w:szCs w:val="24"/>
        </w:rPr>
      </w:pPr>
      <w:bookmarkStart w:id="29" w:name="_Ref192765370"/>
      <w:r w:rsidRPr="00D125EC">
        <w:rPr>
          <w:rFonts w:ascii="Arial" w:hAnsi="Arial" w:cs="Arial"/>
          <w:sz w:val="24"/>
          <w:szCs w:val="24"/>
        </w:rPr>
        <w:t>Spatial Development Strategies</w:t>
      </w:r>
      <w:bookmarkEnd w:id="29"/>
    </w:p>
    <w:p w14:paraId="1B04E558" w14:textId="1656C818"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Spatial Development Strategies represent the tier of </w:t>
      </w:r>
      <w:r w:rsidR="00400C41" w:rsidRPr="00D125EC">
        <w:rPr>
          <w:rFonts w:ascii="Arial" w:hAnsi="Arial" w:cs="Arial"/>
          <w:sz w:val="24"/>
          <w:szCs w:val="24"/>
        </w:rPr>
        <w:t>sub-</w:t>
      </w:r>
      <w:r w:rsidRPr="00D125EC">
        <w:rPr>
          <w:rFonts w:ascii="Arial" w:hAnsi="Arial" w:cs="Arial"/>
          <w:sz w:val="24"/>
          <w:szCs w:val="24"/>
        </w:rPr>
        <w:t>regional planning in England.</w:t>
      </w:r>
      <w:r w:rsidR="00C05249" w:rsidRPr="00D125EC">
        <w:rPr>
          <w:rFonts w:ascii="Arial" w:hAnsi="Arial" w:cs="Arial"/>
          <w:sz w:val="24"/>
          <w:szCs w:val="24"/>
        </w:rPr>
        <w:t xml:space="preserve"> They may cover multiple local authority areas, but </w:t>
      </w:r>
      <w:r w:rsidR="00CD7C7E" w:rsidRPr="00D125EC">
        <w:rPr>
          <w:rFonts w:ascii="Arial" w:hAnsi="Arial" w:cs="Arial"/>
          <w:sz w:val="24"/>
          <w:szCs w:val="24"/>
        </w:rPr>
        <w:t>do not cover the regions which were abolished by the Coalition Government</w:t>
      </w:r>
      <w:r w:rsidR="00C05249" w:rsidRPr="00D125EC">
        <w:rPr>
          <w:rFonts w:ascii="Arial" w:hAnsi="Arial" w:cs="Arial"/>
          <w:sz w:val="24"/>
          <w:szCs w:val="24"/>
        </w:rPr>
        <w:t>.</w:t>
      </w:r>
      <w:r w:rsidRPr="00D125EC">
        <w:rPr>
          <w:rFonts w:ascii="Arial" w:hAnsi="Arial" w:cs="Arial"/>
          <w:sz w:val="24"/>
          <w:szCs w:val="24"/>
        </w:rPr>
        <w:t xml:space="preserve"> At the time of writing, only London</w:t>
      </w:r>
      <w:r w:rsidR="009C226A" w:rsidRPr="00D125EC">
        <w:rPr>
          <w:rFonts w:ascii="Arial" w:hAnsi="Arial" w:cs="Arial"/>
          <w:sz w:val="24"/>
          <w:szCs w:val="24"/>
        </w:rPr>
        <w:t xml:space="preserve"> (in the form of the London Plan)</w:t>
      </w:r>
      <w:r w:rsidRPr="00D125EC">
        <w:rPr>
          <w:rFonts w:ascii="Arial" w:hAnsi="Arial" w:cs="Arial"/>
          <w:sz w:val="24"/>
          <w:szCs w:val="24"/>
        </w:rPr>
        <w:t xml:space="preserve"> and Liverpool City Region have</w:t>
      </w:r>
      <w:r w:rsidR="00400C41" w:rsidRPr="00D125EC">
        <w:rPr>
          <w:rFonts w:ascii="Arial" w:hAnsi="Arial" w:cs="Arial"/>
          <w:sz w:val="24"/>
          <w:szCs w:val="24"/>
        </w:rPr>
        <w:t>, or are actively developing,</w:t>
      </w:r>
      <w:r w:rsidRPr="00D125EC">
        <w:rPr>
          <w:rFonts w:ascii="Arial" w:hAnsi="Arial" w:cs="Arial"/>
          <w:sz w:val="24"/>
          <w:szCs w:val="24"/>
        </w:rPr>
        <w:t xml:space="preserve"> Spatial Development Strategies</w:t>
      </w:r>
      <w:r w:rsidR="009C226A" w:rsidRPr="00D125EC">
        <w:rPr>
          <w:rFonts w:ascii="Arial" w:hAnsi="Arial" w:cs="Arial"/>
          <w:sz w:val="24"/>
          <w:szCs w:val="24"/>
        </w:rPr>
        <w:t xml:space="preserve">. These </w:t>
      </w:r>
      <w:r w:rsidRPr="00D125EC">
        <w:rPr>
          <w:rFonts w:ascii="Arial" w:hAnsi="Arial" w:cs="Arial"/>
          <w:sz w:val="24"/>
          <w:szCs w:val="24"/>
        </w:rPr>
        <w:t>set out the long-term</w:t>
      </w:r>
      <w:r w:rsidR="00CD7C7E" w:rsidRPr="00D125EC">
        <w:rPr>
          <w:rFonts w:ascii="Arial" w:hAnsi="Arial" w:cs="Arial"/>
          <w:sz w:val="24"/>
          <w:szCs w:val="24"/>
        </w:rPr>
        <w:t xml:space="preserve"> and high-level</w:t>
      </w:r>
      <w:r w:rsidRPr="00D125EC">
        <w:rPr>
          <w:rFonts w:ascii="Arial" w:hAnsi="Arial" w:cs="Arial"/>
          <w:sz w:val="24"/>
          <w:szCs w:val="24"/>
        </w:rPr>
        <w:t xml:space="preserve"> vision</w:t>
      </w:r>
      <w:r w:rsidR="00CD7C7E" w:rsidRPr="00D125EC">
        <w:rPr>
          <w:rFonts w:ascii="Arial" w:hAnsi="Arial" w:cs="Arial"/>
          <w:sz w:val="24"/>
          <w:szCs w:val="24"/>
        </w:rPr>
        <w:t>s</w:t>
      </w:r>
      <w:r w:rsidRPr="00D125EC">
        <w:rPr>
          <w:rFonts w:ascii="Arial" w:hAnsi="Arial" w:cs="Arial"/>
          <w:sz w:val="24"/>
          <w:szCs w:val="24"/>
        </w:rPr>
        <w:t xml:space="preserve"> for the </w:t>
      </w:r>
      <w:r w:rsidR="00CD7C7E" w:rsidRPr="00D125EC">
        <w:rPr>
          <w:rFonts w:ascii="Arial" w:hAnsi="Arial" w:cs="Arial"/>
          <w:sz w:val="24"/>
          <w:szCs w:val="24"/>
        </w:rPr>
        <w:t>sub-</w:t>
      </w:r>
      <w:r w:rsidRPr="00D125EC">
        <w:rPr>
          <w:rFonts w:ascii="Arial" w:hAnsi="Arial" w:cs="Arial"/>
          <w:sz w:val="24"/>
          <w:szCs w:val="24"/>
        </w:rPr>
        <w:t>regions’ development</w:t>
      </w:r>
      <w:r w:rsidR="00CD7C7E" w:rsidRPr="00D125EC">
        <w:rPr>
          <w:rFonts w:ascii="Arial" w:hAnsi="Arial" w:cs="Arial"/>
          <w:sz w:val="24"/>
          <w:szCs w:val="24"/>
        </w:rPr>
        <w:t>, including housing and infrastructure</w:t>
      </w:r>
      <w:r w:rsidRPr="00D125EC">
        <w:rPr>
          <w:rFonts w:ascii="Arial" w:hAnsi="Arial" w:cs="Arial"/>
          <w:sz w:val="24"/>
          <w:szCs w:val="24"/>
        </w:rPr>
        <w:t>.</w:t>
      </w:r>
    </w:p>
    <w:p w14:paraId="25DF31D1" w14:textId="1B84DFC4"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It is envisioned under the government’s English Devolution White Paper</w:t>
      </w:r>
      <w:r w:rsidR="006E60AB" w:rsidRPr="00D125EC">
        <w:rPr>
          <w:rFonts w:ascii="Arial" w:hAnsi="Arial" w:cs="Arial"/>
          <w:sz w:val="24"/>
          <w:szCs w:val="24"/>
        </w:rPr>
        <w:t xml:space="preserve"> </w:t>
      </w:r>
      <w:hyperlink r:id="rId39" w:history="1">
        <w:r w:rsidR="006E60AB" w:rsidRPr="00D125EC">
          <w:rPr>
            <w:rStyle w:val="Hyperlink"/>
            <w:rFonts w:ascii="Arial" w:hAnsi="Arial" w:cs="Arial"/>
            <w:sz w:val="24"/>
            <w:szCs w:val="24"/>
          </w:rPr>
          <w:t>(MHCLG, 2024)</w:t>
        </w:r>
      </w:hyperlink>
      <w:r w:rsidR="00F373A5" w:rsidRPr="00D125EC">
        <w:rPr>
          <w:rFonts w:ascii="Arial" w:hAnsi="Arial" w:cs="Arial"/>
          <w:sz w:val="24"/>
          <w:szCs w:val="24"/>
        </w:rPr>
        <w:t xml:space="preserve"> </w:t>
      </w:r>
      <w:r w:rsidRPr="00D125EC">
        <w:rPr>
          <w:rFonts w:ascii="Arial" w:hAnsi="Arial" w:cs="Arial"/>
          <w:sz w:val="24"/>
          <w:szCs w:val="24"/>
        </w:rPr>
        <w:t xml:space="preserve">that </w:t>
      </w:r>
      <w:r w:rsidR="0038511C" w:rsidRPr="00D125EC">
        <w:rPr>
          <w:rFonts w:ascii="Arial" w:hAnsi="Arial" w:cs="Arial"/>
          <w:sz w:val="24"/>
          <w:szCs w:val="24"/>
        </w:rPr>
        <w:t>every area</w:t>
      </w:r>
      <w:r w:rsidRPr="00D125EC">
        <w:rPr>
          <w:rFonts w:ascii="Arial" w:hAnsi="Arial" w:cs="Arial"/>
          <w:sz w:val="24"/>
          <w:szCs w:val="24"/>
        </w:rPr>
        <w:t xml:space="preserve"> in England will eventually </w:t>
      </w:r>
      <w:r w:rsidR="009C226A" w:rsidRPr="00D125EC">
        <w:rPr>
          <w:rFonts w:ascii="Arial" w:hAnsi="Arial" w:cs="Arial"/>
          <w:sz w:val="24"/>
          <w:szCs w:val="24"/>
        </w:rPr>
        <w:t xml:space="preserve">be covered by </w:t>
      </w:r>
      <w:r w:rsidRPr="00D125EC">
        <w:rPr>
          <w:rFonts w:ascii="Arial" w:hAnsi="Arial" w:cs="Arial"/>
          <w:sz w:val="24"/>
          <w:szCs w:val="24"/>
        </w:rPr>
        <w:t>a Spatial Development Strategy</w:t>
      </w:r>
      <w:r w:rsidR="00180CEF" w:rsidRPr="00D125EC">
        <w:rPr>
          <w:rFonts w:ascii="Arial" w:hAnsi="Arial" w:cs="Arial"/>
          <w:sz w:val="24"/>
          <w:szCs w:val="24"/>
        </w:rPr>
        <w:t xml:space="preserve"> and that they will be developed by ‘Strategic Authorities’</w:t>
      </w:r>
      <w:r w:rsidRPr="00D125EC">
        <w:rPr>
          <w:rFonts w:ascii="Arial" w:hAnsi="Arial" w:cs="Arial"/>
          <w:sz w:val="24"/>
          <w:szCs w:val="24"/>
        </w:rPr>
        <w:t xml:space="preserve">. </w:t>
      </w:r>
    </w:p>
    <w:p w14:paraId="7E86F863"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 xml:space="preserve">Local Plans </w:t>
      </w:r>
    </w:p>
    <w:p w14:paraId="1AF3E986" w14:textId="61602C08"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Local </w:t>
      </w:r>
      <w:r w:rsidR="00277F90" w:rsidRPr="00D125EC">
        <w:rPr>
          <w:rFonts w:ascii="Arial" w:hAnsi="Arial" w:cs="Arial"/>
          <w:sz w:val="24"/>
          <w:szCs w:val="24"/>
        </w:rPr>
        <w:t>p</w:t>
      </w:r>
      <w:r w:rsidRPr="00D125EC">
        <w:rPr>
          <w:rFonts w:ascii="Arial" w:hAnsi="Arial" w:cs="Arial"/>
          <w:sz w:val="24"/>
          <w:szCs w:val="24"/>
        </w:rPr>
        <w:t xml:space="preserve">lans are developed by local planning authorities to guide decisions on future development proposals. Some local plans have provisions for net zero and energy efficiency measures. </w:t>
      </w:r>
    </w:p>
    <w:p w14:paraId="1A528164"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Supplementary Planning Documents (SPDs) provide more detailed advice or guidance on policies adopted in a local plan. SPDs are not part of the development plan and cannot introduce new planning policies. Some local authorities have used SPDs to guide climate actions. </w:t>
      </w:r>
    </w:p>
    <w:p w14:paraId="6A3A8648"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lastRenderedPageBreak/>
        <w:t xml:space="preserve">The Levelling Up and Regeneration Act 2023 (LURA) contains provisions for SPDs to be replaced with Supplementary Plans – which will undergo a more stringent examination process and will form part of the development plan once adopted. Hence, while they are less agile than SPDs, they carry more weight in planning decisions.  </w:t>
      </w:r>
    </w:p>
    <w:p w14:paraId="623E77C2"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Neighbourhood Plans</w:t>
      </w:r>
    </w:p>
    <w:p w14:paraId="11853422"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Neighbourhood plans are prepared by local communities – either through a parish council or neighbourhood forum. Neighbourhood plans form part of the development plan and the policies contained within them are used in the determination of planning applications. </w:t>
      </w:r>
    </w:p>
    <w:p w14:paraId="3E2DA9FC" w14:textId="45FDDA0F" w:rsidR="00693288" w:rsidRPr="00D125EC" w:rsidRDefault="00F70C60" w:rsidP="008209E1">
      <w:pPr>
        <w:pStyle w:val="Heading2"/>
        <w:rPr>
          <w:rFonts w:ascii="Arial" w:hAnsi="Arial" w:cs="Arial"/>
        </w:rPr>
      </w:pPr>
      <w:bookmarkStart w:id="30" w:name="_Toc198879239"/>
      <w:r>
        <w:rPr>
          <w:rFonts w:ascii="Arial" w:hAnsi="Arial" w:cs="Arial"/>
        </w:rPr>
        <w:t xml:space="preserve">9.5 </w:t>
      </w:r>
      <w:r w:rsidR="00693288" w:rsidRPr="00D125EC">
        <w:rPr>
          <w:rFonts w:ascii="Arial" w:hAnsi="Arial" w:cs="Arial"/>
        </w:rPr>
        <w:t>Scotland</w:t>
      </w:r>
      <w:bookmarkEnd w:id="30"/>
    </w:p>
    <w:p w14:paraId="78DEF3C6"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Land Use Strategy</w:t>
      </w:r>
    </w:p>
    <w:p w14:paraId="1C3ADADC" w14:textId="0158C18B"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The Land Use Strategy in Scotland sets out the nation’s long-term vision for sustainable land use</w:t>
      </w:r>
      <w:r w:rsidR="007F216C" w:rsidRPr="00D125EC">
        <w:rPr>
          <w:rFonts w:ascii="Arial" w:hAnsi="Arial" w:cs="Arial"/>
          <w:sz w:val="24"/>
          <w:szCs w:val="24"/>
        </w:rPr>
        <w:t xml:space="preserve"> </w:t>
      </w:r>
      <w:hyperlink r:id="rId40" w:history="1">
        <w:r w:rsidR="007F216C" w:rsidRPr="00D125EC">
          <w:rPr>
            <w:rStyle w:val="Hyperlink"/>
            <w:rFonts w:ascii="Arial" w:hAnsi="Arial" w:cs="Arial"/>
            <w:sz w:val="24"/>
            <w:szCs w:val="24"/>
          </w:rPr>
          <w:t>(Scottish Government, 2021)</w:t>
        </w:r>
      </w:hyperlink>
      <w:r w:rsidRPr="00D125EC">
        <w:rPr>
          <w:rFonts w:ascii="Arial" w:hAnsi="Arial" w:cs="Arial"/>
          <w:sz w:val="24"/>
          <w:szCs w:val="24"/>
        </w:rPr>
        <w:t xml:space="preserve">. The preparation of a Land Use Strategy is mandated by the Climate Change (Scotland) Act 2009. The current strategy is in its third iteration. It seeks to provide an overarching holistic picture of what sustainable land use in Scotland could look like, moving away from a sector-by-sector approach. </w:t>
      </w:r>
    </w:p>
    <w:p w14:paraId="18EADB01"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National Planning Framework 4 (NPF4)</w:t>
      </w:r>
    </w:p>
    <w:p w14:paraId="04E067DE"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NPF4 sets out the national spatial strategy for Scotland and includes a map for different types of national developments, including strategic renewable energy generation and transmission infrastructure.</w:t>
      </w:r>
    </w:p>
    <w:p w14:paraId="2FFD7376"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NPF4 and the Local Development Plan forms the Development Plan for an area. As such, provisions in the NPF4 must be taken into account in planning decisions.</w:t>
      </w:r>
    </w:p>
    <w:p w14:paraId="2943381B" w14:textId="77777777" w:rsidR="00693288" w:rsidRPr="00D125EC" w:rsidRDefault="00693288" w:rsidP="00D125EC">
      <w:pPr>
        <w:pStyle w:val="Heading3"/>
        <w:spacing w:line="360" w:lineRule="auto"/>
        <w:rPr>
          <w:rFonts w:ascii="Arial" w:hAnsi="Arial" w:cs="Arial"/>
          <w:sz w:val="24"/>
          <w:szCs w:val="24"/>
        </w:rPr>
      </w:pPr>
      <w:bookmarkStart w:id="31" w:name="_Ref192769018"/>
      <w:r w:rsidRPr="00D125EC">
        <w:rPr>
          <w:rFonts w:ascii="Arial" w:hAnsi="Arial" w:cs="Arial"/>
          <w:sz w:val="24"/>
          <w:szCs w:val="24"/>
        </w:rPr>
        <w:t>Regional Spatial Strategies (RSS)</w:t>
      </w:r>
      <w:bookmarkEnd w:id="31"/>
    </w:p>
    <w:p w14:paraId="12CC2D2B" w14:textId="4505A2A6"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RSSs are long-term spatial strategies for the development of an area, prepared either by a single local planning authority or two or more of them working together. RSSs are not part of the Development Plan but informs</w:t>
      </w:r>
      <w:r w:rsidR="00D21C4C" w:rsidRPr="00D125EC">
        <w:rPr>
          <w:rFonts w:ascii="Arial" w:hAnsi="Arial" w:cs="Arial"/>
          <w:sz w:val="24"/>
          <w:szCs w:val="24"/>
        </w:rPr>
        <w:t xml:space="preserve">, and are informed by, </w:t>
      </w:r>
      <w:r w:rsidRPr="00D125EC">
        <w:rPr>
          <w:rFonts w:ascii="Arial" w:hAnsi="Arial" w:cs="Arial"/>
          <w:sz w:val="24"/>
          <w:szCs w:val="24"/>
        </w:rPr>
        <w:t xml:space="preserve">the development of Local Development Plans and the NPF4. </w:t>
      </w:r>
    </w:p>
    <w:p w14:paraId="3DED776E" w14:textId="4D8B61D1" w:rsidR="00693288" w:rsidRPr="00D125EC" w:rsidRDefault="006B2EC9" w:rsidP="00D125EC">
      <w:pPr>
        <w:spacing w:line="360" w:lineRule="auto"/>
        <w:rPr>
          <w:rFonts w:ascii="Arial" w:hAnsi="Arial" w:cs="Arial"/>
          <w:sz w:val="24"/>
          <w:szCs w:val="24"/>
        </w:rPr>
      </w:pPr>
      <w:r w:rsidRPr="00D125EC">
        <w:rPr>
          <w:rFonts w:ascii="Arial" w:hAnsi="Arial" w:cs="Arial"/>
          <w:sz w:val="24"/>
          <w:szCs w:val="24"/>
        </w:rPr>
        <w:lastRenderedPageBreak/>
        <w:t xml:space="preserve">Part 1 of NPF4 sets out </w:t>
      </w:r>
      <w:r w:rsidR="00E775B9" w:rsidRPr="00D125EC">
        <w:rPr>
          <w:rFonts w:ascii="Arial" w:hAnsi="Arial" w:cs="Arial"/>
          <w:sz w:val="24"/>
          <w:szCs w:val="24"/>
        </w:rPr>
        <w:t xml:space="preserve">the purposes of RSSs, while </w:t>
      </w:r>
      <w:r w:rsidR="00693288" w:rsidRPr="00D125EC">
        <w:rPr>
          <w:rFonts w:ascii="Arial" w:hAnsi="Arial" w:cs="Arial"/>
          <w:sz w:val="24"/>
          <w:szCs w:val="24"/>
        </w:rPr>
        <w:t xml:space="preserve">Annex C provides guidance for the preparation of each area’s RSS, including the type of energy infrastructure to focus on. </w:t>
      </w:r>
    </w:p>
    <w:p w14:paraId="5A0B8243"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Local Development Plans (LDPs)</w:t>
      </w:r>
    </w:p>
    <w:p w14:paraId="0691333D"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LDPs envisions how local places will change in the future. It is the obligation for each local planning authority to prepare an LDP. They are part of the Development Plan and as such are fundamental to planning decisions. Planning authorities must take the NPF4 into account when preparing their LDPs. They must also have regard to their adopted RSS.</w:t>
      </w:r>
    </w:p>
    <w:p w14:paraId="0B67580C"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Local Place Plans (LPPs)</w:t>
      </w:r>
    </w:p>
    <w:p w14:paraId="16A97045"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LPPs are community-led plans that set out proposals for the development and use of land. They provide the opportunities for communities to express their aspirations for future development. Once completed and registered by the local planning authority, they are to be taken into account in the preparation of the relevant local development plan. </w:t>
      </w:r>
    </w:p>
    <w:p w14:paraId="7D44CB79" w14:textId="73A2E70A" w:rsidR="00693288" w:rsidRPr="00D125EC" w:rsidRDefault="00F70C60" w:rsidP="008209E1">
      <w:pPr>
        <w:pStyle w:val="Heading2"/>
        <w:rPr>
          <w:rFonts w:ascii="Arial" w:hAnsi="Arial" w:cs="Arial"/>
        </w:rPr>
      </w:pPr>
      <w:bookmarkStart w:id="32" w:name="_Toc198879240"/>
      <w:r>
        <w:rPr>
          <w:rFonts w:ascii="Arial" w:hAnsi="Arial" w:cs="Arial"/>
        </w:rPr>
        <w:t xml:space="preserve">9.6 </w:t>
      </w:r>
      <w:r w:rsidR="00693288" w:rsidRPr="00D125EC">
        <w:rPr>
          <w:rFonts w:ascii="Arial" w:hAnsi="Arial" w:cs="Arial"/>
        </w:rPr>
        <w:t>Wales</w:t>
      </w:r>
      <w:bookmarkEnd w:id="32"/>
    </w:p>
    <w:p w14:paraId="533EDAF0"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Future Wales: the national plan 2040</w:t>
      </w:r>
    </w:p>
    <w:p w14:paraId="2D621E4D"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Future Wales is the national development framework for Wales, serving as the highest tier of the development plan. It provides the strategy to address key national priorities through the planning system. It is spatial in nature, containing a series of maps that visualise the nation’s plans for nature, transport, economy etc.  A map for ‘wind energy and heat networks’ indicate the pre-assessed areas for wind energy and priority areas for district heat networks.</w:t>
      </w:r>
    </w:p>
    <w:p w14:paraId="28314624"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National Energy Plan</w:t>
      </w:r>
    </w:p>
    <w:p w14:paraId="055CA893"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The Welsh government intends to produce a National Energy Plan, incorporating findings in the Local Area Energy Plans across the nation. The national plan will set out the energy system changes required to achieve Net Zero by 2050. </w:t>
      </w:r>
    </w:p>
    <w:p w14:paraId="4EBBCC8B" w14:textId="77777777" w:rsidR="00693288" w:rsidRPr="00D125EC" w:rsidRDefault="00693288" w:rsidP="00D125EC">
      <w:pPr>
        <w:pStyle w:val="Heading3"/>
        <w:spacing w:line="360" w:lineRule="auto"/>
        <w:rPr>
          <w:rFonts w:ascii="Arial" w:hAnsi="Arial" w:cs="Arial"/>
          <w:sz w:val="24"/>
          <w:szCs w:val="24"/>
        </w:rPr>
      </w:pPr>
      <w:bookmarkStart w:id="33" w:name="_Ref192769048"/>
      <w:r w:rsidRPr="00D125EC">
        <w:rPr>
          <w:rFonts w:ascii="Arial" w:hAnsi="Arial" w:cs="Arial"/>
          <w:sz w:val="24"/>
          <w:szCs w:val="24"/>
        </w:rPr>
        <w:t>Strategic Development Plans</w:t>
      </w:r>
      <w:bookmarkEnd w:id="33"/>
    </w:p>
    <w:p w14:paraId="15A2D2BB"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Strategic Development Plans (SDPs) deal with cross-boundary and provide a strategic approach to planning at a larger-than-local scale. Covering a minimum 20 </w:t>
      </w:r>
      <w:r w:rsidRPr="00D125EC">
        <w:rPr>
          <w:rFonts w:ascii="Arial" w:hAnsi="Arial" w:cs="Arial"/>
          <w:sz w:val="24"/>
          <w:szCs w:val="24"/>
        </w:rPr>
        <w:lastRenderedPageBreak/>
        <w:t>year period, they establish the spatial areas for strategic housing, employment growth and renewable energy.</w:t>
      </w:r>
    </w:p>
    <w:p w14:paraId="227B086F"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Since the obligation for CJCs to produce SDPs is relatively new, there has not been any adopted SDP at the time of writing. </w:t>
      </w:r>
    </w:p>
    <w:p w14:paraId="64FF3C26"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Local Development Plans and Local Development Plans ‘</w:t>
      </w:r>
      <w:proofErr w:type="spellStart"/>
      <w:r w:rsidRPr="00D125EC">
        <w:rPr>
          <w:rFonts w:ascii="Arial" w:hAnsi="Arial" w:cs="Arial"/>
          <w:sz w:val="24"/>
          <w:szCs w:val="24"/>
        </w:rPr>
        <w:t>Lites</w:t>
      </w:r>
      <w:proofErr w:type="spellEnd"/>
      <w:r w:rsidRPr="00D125EC">
        <w:rPr>
          <w:rFonts w:ascii="Arial" w:hAnsi="Arial" w:cs="Arial"/>
          <w:sz w:val="24"/>
          <w:szCs w:val="24"/>
        </w:rPr>
        <w:t>’</w:t>
      </w:r>
    </w:p>
    <w:p w14:paraId="2EB375FE"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Local Development Plans (LDPs) are developed by local authorities to shape and guide development proposals. They cover a minimum of 15 year period. </w:t>
      </w:r>
    </w:p>
    <w:p w14:paraId="35C2523D" w14:textId="77777777" w:rsidR="00693288" w:rsidRPr="00D125EC" w:rsidRDefault="00693288" w:rsidP="00D125EC">
      <w:pPr>
        <w:spacing w:line="360" w:lineRule="auto"/>
        <w:rPr>
          <w:rFonts w:ascii="Arial" w:hAnsi="Arial" w:cs="Arial"/>
        </w:rPr>
      </w:pPr>
      <w:r w:rsidRPr="00D125EC">
        <w:rPr>
          <w:rFonts w:ascii="Arial" w:hAnsi="Arial" w:cs="Arial"/>
          <w:sz w:val="24"/>
          <w:szCs w:val="24"/>
        </w:rPr>
        <w:t>Local Development Plans ‘</w:t>
      </w:r>
      <w:proofErr w:type="spellStart"/>
      <w:r w:rsidRPr="00D125EC">
        <w:rPr>
          <w:rFonts w:ascii="Arial" w:hAnsi="Arial" w:cs="Arial"/>
          <w:sz w:val="24"/>
          <w:szCs w:val="24"/>
        </w:rPr>
        <w:t>Lites</w:t>
      </w:r>
      <w:proofErr w:type="spellEnd"/>
      <w:r w:rsidRPr="00D125EC">
        <w:rPr>
          <w:rFonts w:ascii="Arial" w:hAnsi="Arial" w:cs="Arial"/>
          <w:sz w:val="24"/>
          <w:szCs w:val="24"/>
        </w:rPr>
        <w:t>’ (LDPLs) are produced where an SDP has been adopted for the area. They cover a minimum ten-year period and will identify smaller and more localised allocations in a local area.</w:t>
      </w:r>
      <w:r w:rsidRPr="00D125EC">
        <w:rPr>
          <w:rFonts w:ascii="Arial" w:hAnsi="Arial" w:cs="Arial"/>
        </w:rPr>
        <w:t xml:space="preserve"> </w:t>
      </w:r>
    </w:p>
    <w:p w14:paraId="7AD9B424" w14:textId="4695D64B" w:rsidR="00693288" w:rsidRPr="00D125EC" w:rsidRDefault="00F70C60" w:rsidP="008209E1">
      <w:pPr>
        <w:pStyle w:val="Heading2"/>
        <w:rPr>
          <w:rFonts w:ascii="Arial" w:hAnsi="Arial" w:cs="Arial"/>
        </w:rPr>
      </w:pPr>
      <w:bookmarkStart w:id="34" w:name="_Toc198879241"/>
      <w:r>
        <w:rPr>
          <w:rFonts w:ascii="Arial" w:hAnsi="Arial" w:cs="Arial"/>
        </w:rPr>
        <w:t xml:space="preserve">9.7 </w:t>
      </w:r>
      <w:r w:rsidR="00693288" w:rsidRPr="00D125EC">
        <w:rPr>
          <w:rFonts w:ascii="Arial" w:hAnsi="Arial" w:cs="Arial"/>
        </w:rPr>
        <w:t>Northern Ireland</w:t>
      </w:r>
      <w:bookmarkEnd w:id="34"/>
    </w:p>
    <w:p w14:paraId="0CE0BBF2" w14:textId="77777777" w:rsidR="00693288" w:rsidRPr="00D125EC" w:rsidRDefault="00693288" w:rsidP="00D125EC">
      <w:pPr>
        <w:pStyle w:val="Heading3"/>
        <w:spacing w:line="360" w:lineRule="auto"/>
        <w:rPr>
          <w:rFonts w:ascii="Arial" w:hAnsi="Arial" w:cs="Arial"/>
          <w:sz w:val="24"/>
          <w:szCs w:val="32"/>
        </w:rPr>
      </w:pPr>
      <w:r w:rsidRPr="00D125EC">
        <w:rPr>
          <w:rFonts w:ascii="Arial" w:hAnsi="Arial" w:cs="Arial"/>
          <w:sz w:val="24"/>
          <w:szCs w:val="32"/>
        </w:rPr>
        <w:t>Regional Development Strategy 2035</w:t>
      </w:r>
    </w:p>
    <w:p w14:paraId="2496F7ED" w14:textId="77777777" w:rsidR="00693288" w:rsidRPr="00D125EC" w:rsidRDefault="00693288" w:rsidP="00D125EC">
      <w:pPr>
        <w:spacing w:line="360" w:lineRule="auto"/>
        <w:rPr>
          <w:rFonts w:ascii="Arial" w:eastAsia="Aptos" w:hAnsi="Arial" w:cs="Arial"/>
          <w:color w:val="222222"/>
          <w:sz w:val="24"/>
          <w:szCs w:val="24"/>
        </w:rPr>
      </w:pPr>
      <w:r w:rsidRPr="00D125EC">
        <w:rPr>
          <w:rFonts w:ascii="Arial" w:eastAsia="Aptos" w:hAnsi="Arial" w:cs="Arial"/>
          <w:color w:val="222222"/>
          <w:sz w:val="24"/>
          <w:szCs w:val="24"/>
        </w:rPr>
        <w:t xml:space="preserve">The </w:t>
      </w:r>
      <w:r w:rsidRPr="00D125EC">
        <w:rPr>
          <w:rFonts w:ascii="Arial" w:eastAsia="Aptos" w:hAnsi="Arial" w:cs="Arial"/>
          <w:sz w:val="24"/>
          <w:szCs w:val="24"/>
        </w:rPr>
        <w:t>Regional Development Strategy (RDS)</w:t>
      </w:r>
      <w:r w:rsidRPr="00D125EC">
        <w:rPr>
          <w:rFonts w:ascii="Arial" w:eastAsia="Aptos" w:hAnsi="Arial" w:cs="Arial"/>
          <w:color w:val="222222"/>
          <w:sz w:val="24"/>
          <w:szCs w:val="24"/>
        </w:rPr>
        <w:t xml:space="preserve"> is the long-term development strategy which aims to deliver the NI Executive’s Programme for Government. </w:t>
      </w:r>
      <w:r w:rsidRPr="00D125EC">
        <w:rPr>
          <w:rFonts w:ascii="Arial" w:eastAsia="Aptos" w:hAnsi="Arial" w:cs="Arial"/>
          <w:color w:val="000000" w:themeColor="text1"/>
          <w:sz w:val="24"/>
          <w:szCs w:val="24"/>
        </w:rPr>
        <w:t>The Department for Infrastructure is responsible for the review, monitoring and implementation of the RDS 2035, published in March 2012.</w:t>
      </w:r>
      <w:r w:rsidRPr="00D125EC">
        <w:rPr>
          <w:rFonts w:ascii="Arial" w:eastAsia="Aptos" w:hAnsi="Arial" w:cs="Arial"/>
          <w:sz w:val="24"/>
          <w:szCs w:val="24"/>
        </w:rPr>
        <w:t xml:space="preserve">  </w:t>
      </w:r>
      <w:r w:rsidRPr="00D125EC">
        <w:rPr>
          <w:rFonts w:ascii="Arial" w:eastAsia="Aptos" w:hAnsi="Arial" w:cs="Arial"/>
          <w:color w:val="222222"/>
          <w:sz w:val="24"/>
          <w:szCs w:val="24"/>
        </w:rPr>
        <w:t>The RDS has a statutory basis and is material to decisions on individual planning applications and appeals. Local councils must take account of the RDS when drawing up their Local Development Plans.</w:t>
      </w:r>
    </w:p>
    <w:p w14:paraId="4EB1FDBD" w14:textId="77777777" w:rsidR="00693288" w:rsidRPr="00D125EC" w:rsidRDefault="00693288" w:rsidP="00D125EC">
      <w:pPr>
        <w:pStyle w:val="Heading3"/>
        <w:spacing w:line="360" w:lineRule="auto"/>
        <w:rPr>
          <w:rFonts w:ascii="Arial" w:hAnsi="Arial" w:cs="Arial"/>
          <w:sz w:val="24"/>
          <w:szCs w:val="32"/>
        </w:rPr>
      </w:pPr>
      <w:r w:rsidRPr="00D125EC">
        <w:rPr>
          <w:rFonts w:ascii="Arial" w:hAnsi="Arial" w:cs="Arial"/>
          <w:sz w:val="24"/>
          <w:szCs w:val="32"/>
        </w:rPr>
        <w:t>Local Development Plans</w:t>
      </w:r>
    </w:p>
    <w:p w14:paraId="7BAE6D46" w14:textId="2646A0C8" w:rsidR="0070326C" w:rsidRPr="00D125EC" w:rsidRDefault="00693288" w:rsidP="00D125EC">
      <w:pPr>
        <w:spacing w:line="360" w:lineRule="auto"/>
        <w:rPr>
          <w:rFonts w:ascii="Arial" w:hAnsi="Arial" w:cs="Arial"/>
        </w:rPr>
        <w:sectPr w:rsidR="0070326C" w:rsidRPr="00D125EC" w:rsidSect="00A865F3">
          <w:headerReference w:type="default" r:id="rId41"/>
          <w:footerReference w:type="default" r:id="rId42"/>
          <w:pgSz w:w="11906" w:h="16838"/>
          <w:pgMar w:top="1440" w:right="1440" w:bottom="1440" w:left="1440" w:header="709" w:footer="709" w:gutter="0"/>
          <w:cols w:space="708"/>
          <w:docGrid w:linePitch="360"/>
        </w:sectPr>
      </w:pPr>
      <w:r w:rsidRPr="00D125EC">
        <w:rPr>
          <w:rFonts w:ascii="Arial" w:hAnsi="Arial" w:cs="Arial"/>
          <w:sz w:val="24"/>
          <w:szCs w:val="24"/>
        </w:rPr>
        <w:t>Each council must prepare a Local Development Plan (LDP), which comprises a Plan Strategy and a Local Policies Plan. The Plan Strategy (PS) sets out the vision, objectives, growth strategy and strategic policies for the council area, which then inform the Local Policies Plan (LPP). Planning decisions are made in accordance with both the RDS and the relevant LDPs.</w:t>
      </w:r>
      <w:r w:rsidR="004F5A86" w:rsidRPr="00D125EC" w:rsidDel="004F5A86">
        <w:rPr>
          <w:rFonts w:ascii="Arial" w:hAnsi="Arial" w:cs="Arial"/>
          <w:sz w:val="24"/>
          <w:szCs w:val="24"/>
        </w:rPr>
        <w:t xml:space="preserve"> </w:t>
      </w:r>
    </w:p>
    <w:p w14:paraId="575CC083" w14:textId="1DE653D9" w:rsidR="0098446C" w:rsidRPr="00D125EC" w:rsidRDefault="00F70C60" w:rsidP="0098446C">
      <w:pPr>
        <w:pStyle w:val="Heading1"/>
        <w:spacing w:line="276" w:lineRule="auto"/>
        <w:rPr>
          <w:rFonts w:ascii="Arial" w:hAnsi="Arial" w:cs="Arial"/>
        </w:rPr>
      </w:pPr>
      <w:bookmarkStart w:id="35" w:name="_Toc195178173"/>
      <w:bookmarkStart w:id="36" w:name="_Toc198879242"/>
      <w:r>
        <w:rPr>
          <w:rFonts w:ascii="Arial" w:hAnsi="Arial" w:cs="Arial"/>
        </w:rPr>
        <w:lastRenderedPageBreak/>
        <w:t xml:space="preserve">10. </w:t>
      </w:r>
      <w:r w:rsidR="0098446C" w:rsidRPr="00D125EC">
        <w:rPr>
          <w:rFonts w:ascii="Arial" w:hAnsi="Arial" w:cs="Arial"/>
        </w:rPr>
        <w:t xml:space="preserve">Who’s who? Key government departments and public bodies relevant to energy policy </w:t>
      </w:r>
      <w:bookmarkEnd w:id="35"/>
      <w:bookmarkEnd w:id="36"/>
    </w:p>
    <w:p w14:paraId="1C52550F" w14:textId="7AA4F45B" w:rsidR="0098446C" w:rsidRPr="00D125EC" w:rsidRDefault="00F70C60" w:rsidP="0098446C">
      <w:pPr>
        <w:pStyle w:val="Heading2"/>
        <w:rPr>
          <w:rFonts w:ascii="Arial" w:hAnsi="Arial" w:cs="Arial"/>
        </w:rPr>
      </w:pPr>
      <w:bookmarkStart w:id="37" w:name="_Toc194416698"/>
      <w:bookmarkStart w:id="38" w:name="_Toc195178174"/>
      <w:bookmarkStart w:id="39" w:name="_Toc198879243"/>
      <w:r>
        <w:rPr>
          <w:rFonts w:ascii="Arial" w:hAnsi="Arial" w:cs="Arial"/>
        </w:rPr>
        <w:t xml:space="preserve">10.1 </w:t>
      </w:r>
      <w:r w:rsidR="0098446C" w:rsidRPr="00D125EC">
        <w:rPr>
          <w:rFonts w:ascii="Arial" w:hAnsi="Arial" w:cs="Arial"/>
        </w:rPr>
        <w:t>Background</w:t>
      </w:r>
      <w:bookmarkEnd w:id="37"/>
      <w:bookmarkEnd w:id="38"/>
      <w:bookmarkEnd w:id="39"/>
    </w:p>
    <w:p w14:paraId="1D95D068" w14:textId="77777777" w:rsidR="0098446C" w:rsidRPr="00D125EC" w:rsidRDefault="0098446C" w:rsidP="00D125EC">
      <w:pPr>
        <w:spacing w:line="360" w:lineRule="auto"/>
        <w:rPr>
          <w:rFonts w:ascii="Arial" w:hAnsi="Arial" w:cs="Arial"/>
          <w:sz w:val="24"/>
          <w:szCs w:val="24"/>
        </w:rPr>
      </w:pPr>
      <w:r w:rsidRPr="00D125EC">
        <w:rPr>
          <w:rFonts w:ascii="Arial" w:hAnsi="Arial" w:cs="Arial"/>
          <w:sz w:val="24"/>
          <w:szCs w:val="24"/>
        </w:rPr>
        <w:t>The landscape in which local planners and other local energy policy decision makers are operating in is changing rapidly.</w:t>
      </w:r>
    </w:p>
    <w:p w14:paraId="1768E2DA" w14:textId="77777777" w:rsidR="0098446C" w:rsidRPr="00D125EC" w:rsidRDefault="0098446C" w:rsidP="00D125EC">
      <w:pPr>
        <w:spacing w:line="360" w:lineRule="auto"/>
        <w:rPr>
          <w:rFonts w:ascii="Arial" w:hAnsi="Arial" w:cs="Arial"/>
          <w:sz w:val="24"/>
          <w:szCs w:val="24"/>
        </w:rPr>
      </w:pPr>
      <w:r w:rsidRPr="00D125EC">
        <w:rPr>
          <w:rFonts w:ascii="Arial" w:hAnsi="Arial" w:cs="Arial"/>
          <w:sz w:val="24"/>
          <w:szCs w:val="24"/>
        </w:rPr>
        <w:t>The table below summarises the key government departments and other public bodies involved in the development of energy policy at the national level (UK-wide, Great Britain and devolved administration-level).</w:t>
      </w:r>
    </w:p>
    <w:p w14:paraId="2DD37A19" w14:textId="33636EC7" w:rsidR="0098446C" w:rsidRPr="00D125EC" w:rsidRDefault="00F70C60" w:rsidP="0098446C">
      <w:pPr>
        <w:pStyle w:val="Heading2"/>
        <w:rPr>
          <w:rFonts w:ascii="Arial" w:hAnsi="Arial" w:cs="Arial"/>
        </w:rPr>
      </w:pPr>
      <w:bookmarkStart w:id="40" w:name="_Toc195178175"/>
      <w:bookmarkStart w:id="41" w:name="_Toc198879244"/>
      <w:r>
        <w:rPr>
          <w:rFonts w:ascii="Arial" w:hAnsi="Arial" w:cs="Arial"/>
        </w:rPr>
        <w:t xml:space="preserve">10.2 </w:t>
      </w:r>
      <w:r w:rsidR="0098446C" w:rsidRPr="00D125EC">
        <w:rPr>
          <w:rFonts w:ascii="Arial" w:hAnsi="Arial" w:cs="Arial"/>
        </w:rPr>
        <w:t>UK-wide</w:t>
      </w:r>
      <w:bookmarkEnd w:id="40"/>
      <w:bookmarkEnd w:id="41"/>
    </w:p>
    <w:p w14:paraId="24FFCDB3" w14:textId="77777777" w:rsidR="0098446C" w:rsidRPr="00D125EC" w:rsidRDefault="0098446C" w:rsidP="00D125EC">
      <w:pPr>
        <w:pStyle w:val="Heading3"/>
        <w:spacing w:line="360" w:lineRule="auto"/>
        <w:rPr>
          <w:rFonts w:ascii="Arial" w:hAnsi="Arial" w:cs="Arial"/>
          <w:sz w:val="24"/>
          <w:szCs w:val="24"/>
        </w:rPr>
      </w:pPr>
      <w:bookmarkStart w:id="42" w:name="_Toc195178176"/>
      <w:r w:rsidRPr="00D125EC">
        <w:rPr>
          <w:rFonts w:ascii="Arial" w:hAnsi="Arial" w:cs="Arial"/>
          <w:sz w:val="24"/>
          <w:szCs w:val="24"/>
        </w:rPr>
        <w:t>Climate Change Committee - Independent statutory body established under the Climate Change Act 2008</w:t>
      </w:r>
      <w:bookmarkEnd w:id="42"/>
    </w:p>
    <w:p w14:paraId="048323D9"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Advises UK and devolved governments on emissions targets, including the carbon budgets</w:t>
      </w:r>
    </w:p>
    <w:p w14:paraId="3602EAD0"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Reports to Parliament on progress</w:t>
      </w:r>
    </w:p>
    <w:p w14:paraId="28F70322" w14:textId="77777777" w:rsidR="0098446C" w:rsidRPr="00D125EC" w:rsidRDefault="0098446C" w:rsidP="00D125EC">
      <w:pPr>
        <w:pStyle w:val="Heading3"/>
        <w:spacing w:line="360" w:lineRule="auto"/>
        <w:rPr>
          <w:rFonts w:ascii="Arial" w:hAnsi="Arial" w:cs="Arial"/>
          <w:sz w:val="24"/>
          <w:szCs w:val="24"/>
        </w:rPr>
      </w:pPr>
      <w:bookmarkStart w:id="43" w:name="_Toc195178177"/>
      <w:r w:rsidRPr="00D125EC">
        <w:rPr>
          <w:rFonts w:ascii="Arial" w:hAnsi="Arial" w:cs="Arial"/>
          <w:sz w:val="24"/>
          <w:szCs w:val="24"/>
        </w:rPr>
        <w:t>Department for Energy Security and Net Zero (DESNZ) – UK Government department</w:t>
      </w:r>
      <w:bookmarkEnd w:id="43"/>
    </w:p>
    <w:p w14:paraId="273FF377"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Sets out energy and climate policies</w:t>
      </w:r>
    </w:p>
    <w:p w14:paraId="5B6BD3FA" w14:textId="09241759" w:rsidR="0098446C" w:rsidRPr="00D125EC" w:rsidRDefault="0098446C" w:rsidP="00D125EC">
      <w:pPr>
        <w:pStyle w:val="Heading3"/>
        <w:spacing w:line="360" w:lineRule="auto"/>
        <w:rPr>
          <w:rFonts w:ascii="Arial" w:hAnsi="Arial" w:cs="Arial"/>
          <w:sz w:val="24"/>
          <w:szCs w:val="24"/>
        </w:rPr>
      </w:pPr>
      <w:bookmarkStart w:id="44" w:name="_Toc195178178"/>
      <w:r w:rsidRPr="00D125EC">
        <w:rPr>
          <w:rFonts w:ascii="Arial" w:hAnsi="Arial" w:cs="Arial"/>
          <w:sz w:val="24"/>
          <w:szCs w:val="24"/>
        </w:rPr>
        <w:t>Great British Energy – Publicly-owned company</w:t>
      </w:r>
      <w:bookmarkEnd w:id="44"/>
      <w:r w:rsidR="005759FB" w:rsidRPr="00D125EC">
        <w:rPr>
          <w:rFonts w:ascii="Arial" w:hAnsi="Arial" w:cs="Arial"/>
          <w:sz w:val="24"/>
          <w:szCs w:val="24"/>
        </w:rPr>
        <w:t xml:space="preserve"> (</w:t>
      </w:r>
      <w:r w:rsidR="00CA4235" w:rsidRPr="00D125EC">
        <w:rPr>
          <w:rFonts w:ascii="Arial" w:hAnsi="Arial" w:cs="Arial"/>
          <w:sz w:val="24"/>
          <w:szCs w:val="24"/>
        </w:rPr>
        <w:t>will be formally established when the Great British Energy Bill gains Royal Assent</w:t>
      </w:r>
      <w:r w:rsidR="005759FB" w:rsidRPr="00D125EC">
        <w:rPr>
          <w:rFonts w:ascii="Arial" w:hAnsi="Arial" w:cs="Arial"/>
          <w:sz w:val="24"/>
          <w:szCs w:val="24"/>
        </w:rPr>
        <w:t>)</w:t>
      </w:r>
    </w:p>
    <w:p w14:paraId="52AFFD0E"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Invests in energy projects alongside the private sector</w:t>
      </w:r>
    </w:p>
    <w:p w14:paraId="448BD6C1"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Project development</w:t>
      </w:r>
    </w:p>
    <w:p w14:paraId="43BA8DB1"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Supports local energy generation projects through working with local authorities, combined authorities and communities</w:t>
      </w:r>
    </w:p>
    <w:p w14:paraId="66DAA880" w14:textId="77777777" w:rsidR="0098446C" w:rsidRPr="00D125EC" w:rsidRDefault="0098446C" w:rsidP="00D125EC">
      <w:pPr>
        <w:pStyle w:val="ListParagraph"/>
        <w:numPr>
          <w:ilvl w:val="0"/>
          <w:numId w:val="34"/>
        </w:numPr>
        <w:spacing w:line="360" w:lineRule="auto"/>
        <w:rPr>
          <w:rFonts w:ascii="Arial" w:hAnsi="Arial" w:cs="Arial"/>
          <w:sz w:val="24"/>
          <w:szCs w:val="24"/>
        </w:rPr>
      </w:pPr>
      <w:r w:rsidRPr="00D125EC">
        <w:rPr>
          <w:rFonts w:ascii="Arial" w:hAnsi="Arial" w:cs="Arial"/>
          <w:sz w:val="24"/>
          <w:szCs w:val="24"/>
        </w:rPr>
        <w:t>Builds supply chains across the UK</w:t>
      </w:r>
    </w:p>
    <w:p w14:paraId="3EC529BA" w14:textId="2CCD71CF" w:rsidR="0098446C" w:rsidRPr="00D125EC" w:rsidRDefault="00F70C60" w:rsidP="0098446C">
      <w:pPr>
        <w:pStyle w:val="Heading2"/>
        <w:rPr>
          <w:rFonts w:ascii="Arial" w:hAnsi="Arial" w:cs="Arial"/>
        </w:rPr>
      </w:pPr>
      <w:bookmarkStart w:id="45" w:name="_Toc195178179"/>
      <w:bookmarkStart w:id="46" w:name="_Toc198879245"/>
      <w:r>
        <w:rPr>
          <w:rFonts w:ascii="Arial" w:hAnsi="Arial" w:cs="Arial"/>
        </w:rPr>
        <w:t xml:space="preserve">10.3 </w:t>
      </w:r>
      <w:r w:rsidR="0098446C" w:rsidRPr="00D125EC">
        <w:rPr>
          <w:rFonts w:ascii="Arial" w:hAnsi="Arial" w:cs="Arial"/>
        </w:rPr>
        <w:t>Great Britain</w:t>
      </w:r>
      <w:bookmarkEnd w:id="45"/>
      <w:bookmarkEnd w:id="46"/>
    </w:p>
    <w:p w14:paraId="2CDE9306" w14:textId="77777777" w:rsidR="0098446C" w:rsidRPr="00D125EC" w:rsidRDefault="0098446C" w:rsidP="00D125EC">
      <w:pPr>
        <w:pStyle w:val="Heading4"/>
        <w:spacing w:line="360" w:lineRule="auto"/>
        <w:rPr>
          <w:rFonts w:ascii="Arial" w:hAnsi="Arial" w:cs="Arial"/>
          <w:sz w:val="24"/>
          <w:szCs w:val="24"/>
        </w:rPr>
      </w:pPr>
      <w:r w:rsidRPr="00D125EC">
        <w:rPr>
          <w:rFonts w:ascii="Arial" w:hAnsi="Arial" w:cs="Arial"/>
          <w:sz w:val="24"/>
          <w:szCs w:val="24"/>
        </w:rPr>
        <w:t>Ofgem – Regulator and non-ministerial department of the UK Government</w:t>
      </w:r>
    </w:p>
    <w:p w14:paraId="71BB0779" w14:textId="77777777" w:rsidR="0098446C" w:rsidRPr="00D125EC" w:rsidRDefault="0098446C" w:rsidP="00D125EC">
      <w:pPr>
        <w:pStyle w:val="ListParagraph"/>
        <w:numPr>
          <w:ilvl w:val="0"/>
          <w:numId w:val="35"/>
        </w:numPr>
        <w:spacing w:line="360" w:lineRule="auto"/>
        <w:rPr>
          <w:rFonts w:ascii="Arial" w:hAnsi="Arial" w:cs="Arial"/>
          <w:sz w:val="24"/>
          <w:szCs w:val="24"/>
        </w:rPr>
      </w:pPr>
      <w:r w:rsidRPr="00D125EC">
        <w:rPr>
          <w:rFonts w:ascii="Arial" w:hAnsi="Arial" w:cs="Arial"/>
          <w:sz w:val="24"/>
          <w:szCs w:val="24"/>
        </w:rPr>
        <w:t>Protect energy consumers</w:t>
      </w:r>
    </w:p>
    <w:p w14:paraId="2F1A92F0" w14:textId="77777777" w:rsidR="0098446C" w:rsidRPr="00D125EC" w:rsidRDefault="0098446C" w:rsidP="00D125EC">
      <w:pPr>
        <w:pStyle w:val="ListParagraph"/>
        <w:numPr>
          <w:ilvl w:val="0"/>
          <w:numId w:val="35"/>
        </w:numPr>
        <w:spacing w:line="360" w:lineRule="auto"/>
        <w:rPr>
          <w:rFonts w:ascii="Arial" w:hAnsi="Arial" w:cs="Arial"/>
          <w:sz w:val="24"/>
          <w:szCs w:val="24"/>
        </w:rPr>
      </w:pPr>
      <w:r w:rsidRPr="00D125EC">
        <w:rPr>
          <w:rFonts w:ascii="Arial" w:hAnsi="Arial" w:cs="Arial"/>
          <w:sz w:val="24"/>
          <w:szCs w:val="24"/>
        </w:rPr>
        <w:t>Set energy price caps</w:t>
      </w:r>
    </w:p>
    <w:p w14:paraId="2983BCE8" w14:textId="77777777" w:rsidR="0098446C" w:rsidRPr="00D125EC" w:rsidRDefault="0098446C" w:rsidP="00D125EC">
      <w:pPr>
        <w:pStyle w:val="ListParagraph"/>
        <w:numPr>
          <w:ilvl w:val="0"/>
          <w:numId w:val="35"/>
        </w:numPr>
        <w:spacing w:line="360" w:lineRule="auto"/>
        <w:rPr>
          <w:rFonts w:ascii="Arial" w:hAnsi="Arial" w:cs="Arial"/>
          <w:sz w:val="24"/>
          <w:szCs w:val="24"/>
        </w:rPr>
      </w:pPr>
      <w:r w:rsidRPr="00D125EC">
        <w:rPr>
          <w:rFonts w:ascii="Arial" w:hAnsi="Arial" w:cs="Arial"/>
          <w:sz w:val="24"/>
          <w:szCs w:val="24"/>
        </w:rPr>
        <w:lastRenderedPageBreak/>
        <w:t>Administrating industry licensing and regulation, including companies that design, build, operate and maintain electricity transmission infrastructure</w:t>
      </w:r>
    </w:p>
    <w:p w14:paraId="3DF2E134" w14:textId="77777777" w:rsidR="0098446C" w:rsidRPr="00D125EC" w:rsidRDefault="0098446C" w:rsidP="00D125EC">
      <w:pPr>
        <w:pStyle w:val="ListParagraph"/>
        <w:numPr>
          <w:ilvl w:val="0"/>
          <w:numId w:val="35"/>
        </w:numPr>
        <w:spacing w:line="360" w:lineRule="auto"/>
        <w:rPr>
          <w:rFonts w:ascii="Arial" w:hAnsi="Arial" w:cs="Arial"/>
          <w:sz w:val="24"/>
          <w:szCs w:val="24"/>
        </w:rPr>
      </w:pPr>
      <w:r w:rsidRPr="00D125EC">
        <w:rPr>
          <w:rFonts w:ascii="Arial" w:hAnsi="Arial" w:cs="Arial"/>
          <w:sz w:val="24"/>
          <w:szCs w:val="24"/>
        </w:rPr>
        <w:t xml:space="preserve">Chairing the Connections Delivery Board, which oversees the implementation of the Connections Action Plan </w:t>
      </w:r>
      <w:hyperlink r:id="rId43" w:history="1">
        <w:r w:rsidRPr="00D125EC">
          <w:rPr>
            <w:rStyle w:val="Hyperlink"/>
            <w:rFonts w:ascii="Arial" w:hAnsi="Arial" w:cs="Arial"/>
            <w:sz w:val="24"/>
            <w:szCs w:val="24"/>
          </w:rPr>
          <w:t>(DESNZ and Ofgem, 2023)</w:t>
        </w:r>
      </w:hyperlink>
    </w:p>
    <w:p w14:paraId="29B66853" w14:textId="275AAC5E" w:rsidR="0098446C" w:rsidRPr="00D125EC" w:rsidRDefault="0098446C" w:rsidP="00D125EC">
      <w:pPr>
        <w:pStyle w:val="Heading3"/>
        <w:spacing w:line="360" w:lineRule="auto"/>
        <w:rPr>
          <w:rFonts w:ascii="Arial" w:hAnsi="Arial" w:cs="Arial"/>
          <w:sz w:val="24"/>
          <w:szCs w:val="24"/>
        </w:rPr>
      </w:pPr>
      <w:bookmarkStart w:id="47" w:name="_Toc195178180"/>
      <w:r w:rsidRPr="00D125EC">
        <w:rPr>
          <w:rFonts w:ascii="Arial" w:hAnsi="Arial" w:cs="Arial"/>
          <w:sz w:val="24"/>
          <w:szCs w:val="24"/>
        </w:rPr>
        <w:t>National Energy System Operator (NESO) – Public corporation</w:t>
      </w:r>
      <w:bookmarkEnd w:id="47"/>
      <w:r w:rsidR="00EA6B1B" w:rsidRPr="00D125EC">
        <w:rPr>
          <w:rFonts w:ascii="Arial" w:hAnsi="Arial" w:cs="Arial"/>
          <w:sz w:val="24"/>
          <w:szCs w:val="24"/>
        </w:rPr>
        <w:t xml:space="preserve"> owned by DESNZ</w:t>
      </w:r>
    </w:p>
    <w:p w14:paraId="55CD0939" w14:textId="77777777" w:rsidR="0098446C" w:rsidRPr="00D125EC" w:rsidRDefault="0098446C" w:rsidP="00D125EC">
      <w:pPr>
        <w:pStyle w:val="ListParagraph"/>
        <w:numPr>
          <w:ilvl w:val="0"/>
          <w:numId w:val="36"/>
        </w:numPr>
        <w:spacing w:line="360" w:lineRule="auto"/>
        <w:rPr>
          <w:rFonts w:ascii="Arial" w:hAnsi="Arial" w:cs="Arial"/>
          <w:sz w:val="24"/>
          <w:szCs w:val="24"/>
        </w:rPr>
      </w:pPr>
      <w:r w:rsidRPr="00D125EC">
        <w:rPr>
          <w:rFonts w:ascii="Arial" w:hAnsi="Arial" w:cs="Arial"/>
          <w:sz w:val="24"/>
          <w:szCs w:val="24"/>
        </w:rPr>
        <w:t>Energy system planner and operator</w:t>
      </w:r>
    </w:p>
    <w:p w14:paraId="35E7BE14" w14:textId="72C75B76" w:rsidR="0098446C" w:rsidRPr="00D125EC" w:rsidRDefault="0098446C" w:rsidP="00D125EC">
      <w:pPr>
        <w:pStyle w:val="ListParagraph"/>
        <w:numPr>
          <w:ilvl w:val="0"/>
          <w:numId w:val="36"/>
        </w:numPr>
        <w:spacing w:line="360" w:lineRule="auto"/>
        <w:rPr>
          <w:rFonts w:ascii="Arial" w:hAnsi="Arial" w:cs="Arial"/>
          <w:sz w:val="24"/>
          <w:szCs w:val="24"/>
        </w:rPr>
      </w:pPr>
      <w:r w:rsidRPr="00D125EC">
        <w:rPr>
          <w:rFonts w:ascii="Arial" w:hAnsi="Arial" w:cs="Arial"/>
          <w:sz w:val="24"/>
          <w:szCs w:val="24"/>
        </w:rPr>
        <w:t>Responsible for developing the</w:t>
      </w:r>
      <w:r w:rsidR="008C71D1" w:rsidRPr="00D125EC">
        <w:rPr>
          <w:rFonts w:ascii="Arial" w:hAnsi="Arial" w:cs="Arial"/>
          <w:sz w:val="24"/>
          <w:szCs w:val="24"/>
        </w:rPr>
        <w:t xml:space="preserve"> forthcoming</w:t>
      </w:r>
      <w:r w:rsidRPr="00D125EC">
        <w:rPr>
          <w:rFonts w:ascii="Arial" w:hAnsi="Arial" w:cs="Arial"/>
          <w:sz w:val="24"/>
          <w:szCs w:val="24"/>
        </w:rPr>
        <w:t xml:space="preserve"> Strategic Spatial Energy Plan</w:t>
      </w:r>
    </w:p>
    <w:p w14:paraId="1673CE19" w14:textId="5380B657" w:rsidR="0098446C" w:rsidRPr="00D125EC" w:rsidRDefault="0098446C" w:rsidP="00D125EC">
      <w:pPr>
        <w:pStyle w:val="ListParagraph"/>
        <w:numPr>
          <w:ilvl w:val="0"/>
          <w:numId w:val="36"/>
        </w:numPr>
        <w:spacing w:line="360" w:lineRule="auto"/>
        <w:rPr>
          <w:rFonts w:ascii="Arial" w:hAnsi="Arial" w:cs="Arial"/>
          <w:sz w:val="24"/>
          <w:szCs w:val="24"/>
        </w:rPr>
      </w:pPr>
      <w:r w:rsidRPr="00D125EC">
        <w:rPr>
          <w:rFonts w:ascii="Arial" w:hAnsi="Arial" w:cs="Arial"/>
          <w:sz w:val="24"/>
          <w:szCs w:val="24"/>
        </w:rPr>
        <w:t xml:space="preserve">Responsible for producing </w:t>
      </w:r>
      <w:r w:rsidR="008C71D1" w:rsidRPr="00D125EC">
        <w:rPr>
          <w:rFonts w:ascii="Arial" w:hAnsi="Arial" w:cs="Arial"/>
          <w:sz w:val="24"/>
          <w:szCs w:val="24"/>
        </w:rPr>
        <w:t xml:space="preserve">the forthcoming </w:t>
      </w:r>
      <w:r w:rsidRPr="00D125EC">
        <w:rPr>
          <w:rFonts w:ascii="Arial" w:hAnsi="Arial" w:cs="Arial"/>
          <w:sz w:val="24"/>
          <w:szCs w:val="24"/>
        </w:rPr>
        <w:t>Regional Energy Spatial Plans</w:t>
      </w:r>
    </w:p>
    <w:p w14:paraId="73B65DD6" w14:textId="76E37D8C" w:rsidR="0098446C" w:rsidRPr="00D125EC" w:rsidRDefault="00F70C60" w:rsidP="0098446C">
      <w:pPr>
        <w:pStyle w:val="Heading2"/>
        <w:rPr>
          <w:rFonts w:ascii="Arial" w:hAnsi="Arial" w:cs="Arial"/>
        </w:rPr>
      </w:pPr>
      <w:bookmarkStart w:id="48" w:name="_Toc195178181"/>
      <w:bookmarkStart w:id="49" w:name="_Toc198879246"/>
      <w:r>
        <w:rPr>
          <w:rFonts w:ascii="Arial" w:hAnsi="Arial" w:cs="Arial"/>
        </w:rPr>
        <w:t xml:space="preserve">10.4 </w:t>
      </w:r>
      <w:r w:rsidR="0098446C" w:rsidRPr="00D125EC">
        <w:rPr>
          <w:rFonts w:ascii="Arial" w:hAnsi="Arial" w:cs="Arial"/>
        </w:rPr>
        <w:t>Scotland -national level</w:t>
      </w:r>
      <w:bookmarkEnd w:id="48"/>
      <w:bookmarkEnd w:id="49"/>
    </w:p>
    <w:p w14:paraId="363AC2E5" w14:textId="77777777" w:rsidR="0098446C" w:rsidRPr="00D125EC" w:rsidRDefault="0098446C" w:rsidP="00D125EC">
      <w:pPr>
        <w:pStyle w:val="Heading3"/>
        <w:spacing w:line="360" w:lineRule="auto"/>
        <w:rPr>
          <w:rFonts w:ascii="Arial" w:hAnsi="Arial" w:cs="Arial"/>
          <w:sz w:val="24"/>
          <w:szCs w:val="24"/>
        </w:rPr>
      </w:pPr>
      <w:bookmarkStart w:id="50" w:name="_Toc195178182"/>
      <w:r w:rsidRPr="00D125EC">
        <w:rPr>
          <w:rFonts w:ascii="Arial" w:hAnsi="Arial" w:cs="Arial"/>
          <w:sz w:val="24"/>
          <w:szCs w:val="24"/>
        </w:rPr>
        <w:t>Energy and Climate Change Directorate – Scottish Government directorate</w:t>
      </w:r>
      <w:bookmarkEnd w:id="50"/>
    </w:p>
    <w:p w14:paraId="07539141" w14:textId="77777777" w:rsidR="0098446C" w:rsidRPr="00D125EC" w:rsidRDefault="0098446C" w:rsidP="00D125EC">
      <w:pPr>
        <w:pStyle w:val="ListParagraph"/>
        <w:numPr>
          <w:ilvl w:val="0"/>
          <w:numId w:val="37"/>
        </w:numPr>
        <w:spacing w:line="360" w:lineRule="auto"/>
        <w:rPr>
          <w:rFonts w:ascii="Arial" w:hAnsi="Arial" w:cs="Arial"/>
          <w:sz w:val="24"/>
          <w:szCs w:val="24"/>
        </w:rPr>
      </w:pPr>
      <w:r w:rsidRPr="00D125EC">
        <w:rPr>
          <w:rFonts w:ascii="Arial" w:hAnsi="Arial" w:cs="Arial"/>
          <w:sz w:val="24"/>
          <w:szCs w:val="24"/>
        </w:rPr>
        <w:t>Helps Scotland transition to a low carbon economy, with secure, affordable and sustainable energy</w:t>
      </w:r>
    </w:p>
    <w:p w14:paraId="2BF817B9" w14:textId="73C05A45" w:rsidR="0098446C" w:rsidRPr="00D125EC" w:rsidRDefault="00F70C60" w:rsidP="0098446C">
      <w:pPr>
        <w:pStyle w:val="Heading2"/>
        <w:rPr>
          <w:rFonts w:ascii="Arial" w:hAnsi="Arial" w:cs="Arial"/>
        </w:rPr>
      </w:pPr>
      <w:bookmarkStart w:id="51" w:name="_Toc195178183"/>
      <w:bookmarkStart w:id="52" w:name="_Toc198879247"/>
      <w:r>
        <w:rPr>
          <w:rFonts w:ascii="Arial" w:hAnsi="Arial" w:cs="Arial"/>
        </w:rPr>
        <w:t xml:space="preserve">10.5 </w:t>
      </w:r>
      <w:r w:rsidR="0098446C" w:rsidRPr="00D125EC">
        <w:rPr>
          <w:rFonts w:ascii="Arial" w:hAnsi="Arial" w:cs="Arial"/>
        </w:rPr>
        <w:t>Wales – national level</w:t>
      </w:r>
      <w:bookmarkEnd w:id="51"/>
      <w:bookmarkEnd w:id="52"/>
      <w:r w:rsidR="0098446C" w:rsidRPr="00D125EC">
        <w:rPr>
          <w:rFonts w:ascii="Arial" w:hAnsi="Arial" w:cs="Arial"/>
        </w:rPr>
        <w:t xml:space="preserve"> </w:t>
      </w:r>
    </w:p>
    <w:p w14:paraId="67B2D505" w14:textId="77777777" w:rsidR="0098446C" w:rsidRPr="00D125EC" w:rsidRDefault="0098446C" w:rsidP="00D125EC">
      <w:pPr>
        <w:pStyle w:val="Heading4"/>
        <w:spacing w:line="360" w:lineRule="auto"/>
        <w:rPr>
          <w:rFonts w:ascii="Arial" w:hAnsi="Arial" w:cs="Arial"/>
          <w:sz w:val="24"/>
          <w:szCs w:val="24"/>
        </w:rPr>
      </w:pPr>
      <w:r w:rsidRPr="00D125EC">
        <w:rPr>
          <w:rFonts w:ascii="Arial" w:hAnsi="Arial" w:cs="Arial"/>
          <w:sz w:val="24"/>
          <w:szCs w:val="24"/>
        </w:rPr>
        <w:t>The Welsh Government</w:t>
      </w:r>
    </w:p>
    <w:p w14:paraId="52A2FF3A" w14:textId="77777777" w:rsidR="0098446C" w:rsidRPr="00D125EC" w:rsidRDefault="0098446C" w:rsidP="00D125EC">
      <w:pPr>
        <w:pStyle w:val="ListParagraph"/>
        <w:numPr>
          <w:ilvl w:val="0"/>
          <w:numId w:val="37"/>
        </w:numPr>
        <w:spacing w:line="360" w:lineRule="auto"/>
        <w:rPr>
          <w:rFonts w:ascii="Arial" w:hAnsi="Arial" w:cs="Arial"/>
          <w:sz w:val="24"/>
          <w:szCs w:val="24"/>
        </w:rPr>
      </w:pPr>
      <w:r w:rsidRPr="00D125EC">
        <w:rPr>
          <w:rFonts w:ascii="Arial" w:hAnsi="Arial" w:cs="Arial"/>
          <w:sz w:val="24"/>
          <w:szCs w:val="24"/>
        </w:rPr>
        <w:t>Overseas energy and climate change policy in Wales</w:t>
      </w:r>
    </w:p>
    <w:p w14:paraId="522628D0" w14:textId="77777777" w:rsidR="0098446C" w:rsidRPr="00D125EC" w:rsidRDefault="0098446C" w:rsidP="00D125EC">
      <w:pPr>
        <w:pStyle w:val="Heading3"/>
        <w:spacing w:line="360" w:lineRule="auto"/>
        <w:rPr>
          <w:rFonts w:ascii="Arial" w:hAnsi="Arial" w:cs="Arial"/>
          <w:sz w:val="24"/>
          <w:szCs w:val="24"/>
        </w:rPr>
      </w:pPr>
      <w:bookmarkStart w:id="53" w:name="_Toc195178184"/>
      <w:r w:rsidRPr="00D125EC">
        <w:rPr>
          <w:rFonts w:ascii="Arial" w:hAnsi="Arial" w:cs="Arial"/>
          <w:sz w:val="24"/>
          <w:szCs w:val="24"/>
        </w:rPr>
        <w:t>Natural Resources Wales – Welsh Government-sponsored body</w:t>
      </w:r>
      <w:bookmarkEnd w:id="53"/>
    </w:p>
    <w:p w14:paraId="1CF89E1D" w14:textId="77777777" w:rsidR="0098446C" w:rsidRPr="00D125EC" w:rsidRDefault="0098446C" w:rsidP="00D125EC">
      <w:pPr>
        <w:pStyle w:val="ListParagraph"/>
        <w:numPr>
          <w:ilvl w:val="0"/>
          <w:numId w:val="37"/>
        </w:numPr>
        <w:spacing w:line="360" w:lineRule="auto"/>
        <w:rPr>
          <w:rFonts w:ascii="Arial" w:hAnsi="Arial" w:cs="Arial"/>
          <w:sz w:val="24"/>
          <w:szCs w:val="24"/>
        </w:rPr>
      </w:pPr>
      <w:r w:rsidRPr="00D125EC">
        <w:rPr>
          <w:rFonts w:ascii="Arial" w:hAnsi="Arial" w:cs="Arial"/>
          <w:sz w:val="24"/>
          <w:szCs w:val="24"/>
        </w:rPr>
        <w:t>Publishes the Energy Guidance Note</w:t>
      </w:r>
    </w:p>
    <w:p w14:paraId="08D67D41" w14:textId="77777777" w:rsidR="0098446C" w:rsidRPr="00D125EC" w:rsidRDefault="0098446C" w:rsidP="00D125EC">
      <w:pPr>
        <w:pStyle w:val="ListParagraph"/>
        <w:numPr>
          <w:ilvl w:val="0"/>
          <w:numId w:val="37"/>
        </w:numPr>
        <w:spacing w:line="360" w:lineRule="auto"/>
        <w:rPr>
          <w:rFonts w:ascii="Arial" w:hAnsi="Arial" w:cs="Arial"/>
          <w:sz w:val="24"/>
          <w:szCs w:val="24"/>
        </w:rPr>
      </w:pPr>
      <w:r w:rsidRPr="00D125EC">
        <w:rPr>
          <w:rFonts w:ascii="Arial" w:hAnsi="Arial" w:cs="Arial"/>
          <w:sz w:val="24"/>
          <w:szCs w:val="24"/>
        </w:rPr>
        <w:t>Runs the Wind Energy, Wood Fuel and Small Scale Hydro Energy Programmes</w:t>
      </w:r>
    </w:p>
    <w:p w14:paraId="278FDB5D" w14:textId="3A8DC77E" w:rsidR="0098446C" w:rsidRPr="00D125EC" w:rsidRDefault="00F70C60" w:rsidP="0098446C">
      <w:pPr>
        <w:pStyle w:val="Heading2"/>
        <w:rPr>
          <w:rFonts w:ascii="Arial" w:hAnsi="Arial" w:cs="Arial"/>
        </w:rPr>
      </w:pPr>
      <w:bookmarkStart w:id="54" w:name="_Toc195178185"/>
      <w:bookmarkStart w:id="55" w:name="_Toc198879248"/>
      <w:r>
        <w:rPr>
          <w:rFonts w:ascii="Arial" w:hAnsi="Arial" w:cs="Arial"/>
        </w:rPr>
        <w:t xml:space="preserve">10.6 </w:t>
      </w:r>
      <w:r w:rsidR="0098446C" w:rsidRPr="00D125EC">
        <w:rPr>
          <w:rFonts w:ascii="Arial" w:hAnsi="Arial" w:cs="Arial"/>
        </w:rPr>
        <w:t>Northern Ireland – regional level</w:t>
      </w:r>
      <w:bookmarkEnd w:id="54"/>
      <w:bookmarkEnd w:id="55"/>
      <w:r w:rsidR="0098446C" w:rsidRPr="00D125EC">
        <w:rPr>
          <w:rFonts w:ascii="Arial" w:hAnsi="Arial" w:cs="Arial"/>
        </w:rPr>
        <w:t xml:space="preserve"> </w:t>
      </w:r>
    </w:p>
    <w:p w14:paraId="54DF53D4" w14:textId="77777777" w:rsidR="0098446C" w:rsidRPr="00D125EC" w:rsidRDefault="0098446C" w:rsidP="00D125EC">
      <w:pPr>
        <w:pStyle w:val="Heading3"/>
        <w:spacing w:line="360" w:lineRule="auto"/>
        <w:rPr>
          <w:rFonts w:ascii="Arial" w:hAnsi="Arial" w:cs="Arial"/>
          <w:sz w:val="24"/>
          <w:szCs w:val="24"/>
        </w:rPr>
      </w:pPr>
      <w:bookmarkStart w:id="56" w:name="_Toc195178186"/>
      <w:r w:rsidRPr="00D125EC">
        <w:rPr>
          <w:rFonts w:ascii="Arial" w:hAnsi="Arial" w:cs="Arial"/>
          <w:sz w:val="24"/>
          <w:szCs w:val="24"/>
        </w:rPr>
        <w:t>Department for the Economy – Department of the Northern Irish Executive</w:t>
      </w:r>
      <w:bookmarkEnd w:id="56"/>
    </w:p>
    <w:p w14:paraId="169FCC14" w14:textId="77777777" w:rsidR="0098446C" w:rsidRPr="00D125EC" w:rsidRDefault="0098446C" w:rsidP="00D125EC">
      <w:pPr>
        <w:pStyle w:val="ListParagraph"/>
        <w:numPr>
          <w:ilvl w:val="0"/>
          <w:numId w:val="38"/>
        </w:numPr>
        <w:spacing w:line="360" w:lineRule="auto"/>
        <w:rPr>
          <w:rFonts w:ascii="Arial" w:hAnsi="Arial" w:cs="Arial"/>
          <w:sz w:val="24"/>
          <w:szCs w:val="24"/>
        </w:rPr>
      </w:pPr>
      <w:r w:rsidRPr="00D125EC">
        <w:rPr>
          <w:rFonts w:ascii="Arial" w:hAnsi="Arial" w:cs="Arial"/>
          <w:sz w:val="24"/>
          <w:szCs w:val="24"/>
        </w:rPr>
        <w:t>Sets out policy and strategy on energy including electricity, gas, renewables and energy efficiency</w:t>
      </w:r>
    </w:p>
    <w:p w14:paraId="0B64C980" w14:textId="77777777" w:rsidR="0098446C" w:rsidRPr="00D125EC" w:rsidRDefault="0098446C" w:rsidP="00D125EC">
      <w:pPr>
        <w:pStyle w:val="Heading3"/>
        <w:spacing w:line="360" w:lineRule="auto"/>
        <w:rPr>
          <w:rFonts w:ascii="Arial" w:hAnsi="Arial" w:cs="Arial"/>
          <w:sz w:val="24"/>
          <w:szCs w:val="24"/>
        </w:rPr>
      </w:pPr>
      <w:bookmarkStart w:id="57" w:name="_Toc195178187"/>
      <w:r w:rsidRPr="00D125EC">
        <w:rPr>
          <w:rFonts w:ascii="Arial" w:hAnsi="Arial" w:cs="Arial"/>
          <w:sz w:val="24"/>
          <w:szCs w:val="24"/>
        </w:rPr>
        <w:t>Northern Ireland Authority for Energy Regulation - Economic regulator for electricity, gas and water in Northern Ireland/ non-ministerial department of the Northern Irish Executive</w:t>
      </w:r>
      <w:bookmarkEnd w:id="57"/>
    </w:p>
    <w:p w14:paraId="3492E9C0" w14:textId="77777777" w:rsidR="0098446C" w:rsidRPr="00D125EC" w:rsidRDefault="0098446C" w:rsidP="00D125EC">
      <w:pPr>
        <w:pStyle w:val="ListParagraph"/>
        <w:numPr>
          <w:ilvl w:val="0"/>
          <w:numId w:val="38"/>
        </w:numPr>
        <w:spacing w:line="360" w:lineRule="auto"/>
        <w:rPr>
          <w:rFonts w:ascii="Arial" w:hAnsi="Arial" w:cs="Arial"/>
          <w:sz w:val="24"/>
          <w:szCs w:val="24"/>
        </w:rPr>
      </w:pPr>
      <w:r w:rsidRPr="00D125EC">
        <w:rPr>
          <w:rFonts w:ascii="Arial" w:hAnsi="Arial" w:cs="Arial"/>
          <w:sz w:val="24"/>
          <w:szCs w:val="24"/>
        </w:rPr>
        <w:t>Protect consumers</w:t>
      </w:r>
    </w:p>
    <w:p w14:paraId="031E31B6" w14:textId="77777777" w:rsidR="0098446C" w:rsidRPr="00D125EC" w:rsidRDefault="0098446C" w:rsidP="00D125EC">
      <w:pPr>
        <w:pStyle w:val="ListParagraph"/>
        <w:numPr>
          <w:ilvl w:val="0"/>
          <w:numId w:val="38"/>
        </w:numPr>
        <w:spacing w:line="360" w:lineRule="auto"/>
        <w:rPr>
          <w:rFonts w:ascii="Arial" w:hAnsi="Arial" w:cs="Arial"/>
          <w:sz w:val="24"/>
          <w:szCs w:val="24"/>
        </w:rPr>
      </w:pPr>
      <w:r w:rsidRPr="00D125EC">
        <w:rPr>
          <w:rFonts w:ascii="Arial" w:hAnsi="Arial" w:cs="Arial"/>
          <w:sz w:val="24"/>
          <w:szCs w:val="24"/>
        </w:rPr>
        <w:t>Issue and maintain licences for gas, electricity and water companies</w:t>
      </w:r>
    </w:p>
    <w:p w14:paraId="3865C71E" w14:textId="77777777" w:rsidR="0098446C" w:rsidRPr="00D125EC" w:rsidRDefault="0098446C" w:rsidP="00D125EC">
      <w:pPr>
        <w:pStyle w:val="ListParagraph"/>
        <w:numPr>
          <w:ilvl w:val="0"/>
          <w:numId w:val="38"/>
        </w:numPr>
        <w:spacing w:line="360" w:lineRule="auto"/>
        <w:rPr>
          <w:rFonts w:ascii="Arial" w:hAnsi="Arial" w:cs="Arial"/>
          <w:sz w:val="24"/>
          <w:szCs w:val="24"/>
        </w:rPr>
      </w:pPr>
      <w:r w:rsidRPr="00D125EC">
        <w:rPr>
          <w:rFonts w:ascii="Arial" w:hAnsi="Arial" w:cs="Arial"/>
          <w:sz w:val="24"/>
          <w:szCs w:val="24"/>
        </w:rPr>
        <w:t>Set standards of service of regulated companies</w:t>
      </w:r>
    </w:p>
    <w:p w14:paraId="0300FA04" w14:textId="653B9AB5" w:rsidR="00693288" w:rsidRPr="00D125EC" w:rsidRDefault="007E02EE" w:rsidP="0073797F">
      <w:pPr>
        <w:pStyle w:val="Heading1"/>
        <w:rPr>
          <w:rFonts w:ascii="Arial" w:hAnsi="Arial" w:cs="Arial"/>
        </w:rPr>
      </w:pPr>
      <w:bookmarkStart w:id="58" w:name="_Toc198879249"/>
      <w:r>
        <w:rPr>
          <w:rFonts w:ascii="Arial" w:hAnsi="Arial" w:cs="Arial"/>
        </w:rPr>
        <w:lastRenderedPageBreak/>
        <w:t xml:space="preserve">11. </w:t>
      </w:r>
      <w:r w:rsidR="00693288" w:rsidRPr="00D125EC">
        <w:rPr>
          <w:rFonts w:ascii="Arial" w:hAnsi="Arial" w:cs="Arial"/>
        </w:rPr>
        <w:t xml:space="preserve">Who’s who? </w:t>
      </w:r>
      <w:r w:rsidR="0063714D" w:rsidRPr="00D125EC">
        <w:rPr>
          <w:rFonts w:ascii="Arial" w:hAnsi="Arial" w:cs="Arial"/>
        </w:rPr>
        <w:t xml:space="preserve">The key departments </w:t>
      </w:r>
      <w:r w:rsidR="00693288" w:rsidRPr="00D125EC">
        <w:rPr>
          <w:rFonts w:ascii="Arial" w:hAnsi="Arial" w:cs="Arial"/>
        </w:rPr>
        <w:t>public bodies relevant to the planning of energy infrastructure</w:t>
      </w:r>
      <w:r w:rsidR="0063714D" w:rsidRPr="00D125EC">
        <w:rPr>
          <w:rFonts w:ascii="Arial" w:hAnsi="Arial" w:cs="Arial"/>
        </w:rPr>
        <w:t xml:space="preserve"> at the national and regional level</w:t>
      </w:r>
      <w:r w:rsidR="00F174D8" w:rsidRPr="00D125EC">
        <w:rPr>
          <w:rFonts w:ascii="Arial" w:hAnsi="Arial" w:cs="Arial"/>
        </w:rPr>
        <w:t>s</w:t>
      </w:r>
      <w:bookmarkEnd w:id="58"/>
    </w:p>
    <w:p w14:paraId="176253BB" w14:textId="099304C6" w:rsidR="003479F8" w:rsidRPr="00D125EC" w:rsidRDefault="007E02EE" w:rsidP="00A865F3">
      <w:pPr>
        <w:pStyle w:val="Heading2"/>
        <w:rPr>
          <w:rFonts w:ascii="Arial" w:hAnsi="Arial" w:cs="Arial"/>
        </w:rPr>
      </w:pPr>
      <w:bookmarkStart w:id="59" w:name="_Toc198879250"/>
      <w:r>
        <w:rPr>
          <w:rFonts w:ascii="Arial" w:hAnsi="Arial" w:cs="Arial"/>
        </w:rPr>
        <w:t xml:space="preserve">11.1 </w:t>
      </w:r>
      <w:r w:rsidR="002A6E8E" w:rsidRPr="00D125EC">
        <w:rPr>
          <w:rFonts w:ascii="Arial" w:hAnsi="Arial" w:cs="Arial"/>
        </w:rPr>
        <w:t>Background</w:t>
      </w:r>
      <w:bookmarkEnd w:id="59"/>
    </w:p>
    <w:p w14:paraId="1797642C" w14:textId="77777777" w:rsidR="001C7111" w:rsidRPr="00D125EC" w:rsidRDefault="003479F8" w:rsidP="00D125EC">
      <w:pPr>
        <w:spacing w:line="360" w:lineRule="auto"/>
        <w:rPr>
          <w:rFonts w:ascii="Arial" w:hAnsi="Arial" w:cs="Arial"/>
          <w:sz w:val="24"/>
          <w:szCs w:val="24"/>
        </w:rPr>
      </w:pPr>
      <w:r w:rsidRPr="00D125EC">
        <w:rPr>
          <w:rFonts w:ascii="Arial" w:hAnsi="Arial" w:cs="Arial"/>
          <w:sz w:val="24"/>
          <w:szCs w:val="24"/>
        </w:rPr>
        <w:t xml:space="preserve">The </w:t>
      </w:r>
      <w:r w:rsidR="007147FE" w:rsidRPr="00D125EC">
        <w:rPr>
          <w:rFonts w:ascii="Arial" w:hAnsi="Arial" w:cs="Arial"/>
          <w:sz w:val="24"/>
          <w:szCs w:val="24"/>
        </w:rPr>
        <w:t xml:space="preserve">landscape in which </w:t>
      </w:r>
      <w:r w:rsidR="001B1B1C" w:rsidRPr="00D125EC">
        <w:rPr>
          <w:rFonts w:ascii="Arial" w:hAnsi="Arial" w:cs="Arial"/>
          <w:sz w:val="24"/>
          <w:szCs w:val="24"/>
        </w:rPr>
        <w:t xml:space="preserve">local planners and other local </w:t>
      </w:r>
      <w:r w:rsidR="002A6E8E" w:rsidRPr="00D125EC">
        <w:rPr>
          <w:rFonts w:ascii="Arial" w:hAnsi="Arial" w:cs="Arial"/>
          <w:sz w:val="24"/>
          <w:szCs w:val="24"/>
        </w:rPr>
        <w:t xml:space="preserve">energy policy </w:t>
      </w:r>
      <w:r w:rsidR="001B1B1C" w:rsidRPr="00D125EC">
        <w:rPr>
          <w:rFonts w:ascii="Arial" w:hAnsi="Arial" w:cs="Arial"/>
          <w:sz w:val="24"/>
          <w:szCs w:val="24"/>
        </w:rPr>
        <w:t>decision makers are oper</w:t>
      </w:r>
      <w:r w:rsidR="002A6E8E" w:rsidRPr="00D125EC">
        <w:rPr>
          <w:rFonts w:ascii="Arial" w:hAnsi="Arial" w:cs="Arial"/>
          <w:sz w:val="24"/>
          <w:szCs w:val="24"/>
        </w:rPr>
        <w:t>ating in is changing rapidly.</w:t>
      </w:r>
    </w:p>
    <w:p w14:paraId="5784211A" w14:textId="2D92ABBA" w:rsidR="00693288" w:rsidRPr="00D125EC" w:rsidRDefault="002463A8" w:rsidP="00D125EC">
      <w:pPr>
        <w:spacing w:line="360" w:lineRule="auto"/>
        <w:rPr>
          <w:rFonts w:ascii="Arial" w:hAnsi="Arial" w:cs="Arial"/>
          <w:sz w:val="24"/>
          <w:szCs w:val="24"/>
        </w:rPr>
      </w:pPr>
      <w:r w:rsidRPr="00D125EC">
        <w:rPr>
          <w:rFonts w:ascii="Arial" w:hAnsi="Arial" w:cs="Arial"/>
          <w:sz w:val="24"/>
          <w:szCs w:val="24"/>
        </w:rPr>
        <w:t>The list</w:t>
      </w:r>
      <w:r w:rsidR="002A6E8E" w:rsidRPr="00D125EC">
        <w:rPr>
          <w:rFonts w:ascii="Arial" w:hAnsi="Arial" w:cs="Arial"/>
          <w:sz w:val="24"/>
          <w:szCs w:val="24"/>
        </w:rPr>
        <w:t xml:space="preserve"> below summarises </w:t>
      </w:r>
      <w:r w:rsidR="0063714D" w:rsidRPr="00D125EC">
        <w:rPr>
          <w:rFonts w:ascii="Arial" w:hAnsi="Arial" w:cs="Arial"/>
          <w:sz w:val="24"/>
          <w:szCs w:val="24"/>
        </w:rPr>
        <w:t>the key government departments and other public bodies involved in the planning of energy infrastructure at the national (both UK and Great Britain)</w:t>
      </w:r>
      <w:r w:rsidR="00637836" w:rsidRPr="00D125EC">
        <w:rPr>
          <w:rFonts w:ascii="Arial" w:hAnsi="Arial" w:cs="Arial"/>
          <w:sz w:val="24"/>
          <w:szCs w:val="24"/>
        </w:rPr>
        <w:t xml:space="preserve"> and regional (including sub-regional) levels.</w:t>
      </w:r>
      <w:r w:rsidR="0063714D" w:rsidRPr="00D125EC">
        <w:rPr>
          <w:rFonts w:ascii="Arial" w:hAnsi="Arial" w:cs="Arial"/>
          <w:sz w:val="24"/>
          <w:szCs w:val="24"/>
        </w:rPr>
        <w:t xml:space="preserve"> </w:t>
      </w:r>
      <w:r w:rsidR="00B726CF" w:rsidRPr="00D125EC">
        <w:rPr>
          <w:rFonts w:ascii="Arial" w:hAnsi="Arial" w:cs="Arial"/>
          <w:sz w:val="24"/>
          <w:szCs w:val="24"/>
        </w:rPr>
        <w:t xml:space="preserve">It is not exhaustive, </w:t>
      </w:r>
      <w:r w:rsidR="00934726" w:rsidRPr="00D125EC">
        <w:rPr>
          <w:rFonts w:ascii="Arial" w:hAnsi="Arial" w:cs="Arial"/>
          <w:sz w:val="24"/>
          <w:szCs w:val="24"/>
        </w:rPr>
        <w:t xml:space="preserve">and </w:t>
      </w:r>
      <w:r w:rsidR="00C1012E" w:rsidRPr="00D125EC">
        <w:rPr>
          <w:rFonts w:ascii="Arial" w:hAnsi="Arial" w:cs="Arial"/>
          <w:sz w:val="24"/>
          <w:szCs w:val="24"/>
        </w:rPr>
        <w:t>focus</w:t>
      </w:r>
      <w:r w:rsidR="00934726" w:rsidRPr="00D125EC">
        <w:rPr>
          <w:rFonts w:ascii="Arial" w:hAnsi="Arial" w:cs="Arial"/>
          <w:sz w:val="24"/>
          <w:szCs w:val="24"/>
        </w:rPr>
        <w:t>es</w:t>
      </w:r>
      <w:r w:rsidR="00C1012E" w:rsidRPr="00D125EC">
        <w:rPr>
          <w:rFonts w:ascii="Arial" w:hAnsi="Arial" w:cs="Arial"/>
          <w:sz w:val="24"/>
          <w:szCs w:val="24"/>
        </w:rPr>
        <w:t xml:space="preserve"> on </w:t>
      </w:r>
      <w:r w:rsidR="00934726" w:rsidRPr="00D125EC">
        <w:rPr>
          <w:rFonts w:ascii="Arial" w:hAnsi="Arial" w:cs="Arial"/>
          <w:sz w:val="24"/>
          <w:szCs w:val="24"/>
        </w:rPr>
        <w:t>those organisations whose</w:t>
      </w:r>
      <w:r w:rsidR="00C1012E" w:rsidRPr="00D125EC">
        <w:rPr>
          <w:rFonts w:ascii="Arial" w:hAnsi="Arial" w:cs="Arial"/>
          <w:sz w:val="24"/>
          <w:szCs w:val="24"/>
        </w:rPr>
        <w:t xml:space="preserve"> </w:t>
      </w:r>
      <w:r w:rsidR="00654DDD" w:rsidRPr="00D125EC">
        <w:rPr>
          <w:rFonts w:ascii="Arial" w:hAnsi="Arial" w:cs="Arial"/>
          <w:sz w:val="24"/>
          <w:szCs w:val="24"/>
        </w:rPr>
        <w:t xml:space="preserve">remit </w:t>
      </w:r>
      <w:r w:rsidR="00934726" w:rsidRPr="00D125EC">
        <w:rPr>
          <w:rFonts w:ascii="Arial" w:hAnsi="Arial" w:cs="Arial"/>
          <w:sz w:val="24"/>
          <w:szCs w:val="24"/>
        </w:rPr>
        <w:t>is most relevant to energy planning.</w:t>
      </w:r>
    </w:p>
    <w:p w14:paraId="02F6BE64" w14:textId="6763E395" w:rsidR="00693288" w:rsidRPr="00D125EC" w:rsidRDefault="007E02EE">
      <w:pPr>
        <w:pStyle w:val="Heading2"/>
        <w:rPr>
          <w:rFonts w:ascii="Arial" w:hAnsi="Arial" w:cs="Arial"/>
        </w:rPr>
      </w:pPr>
      <w:bookmarkStart w:id="60" w:name="_Toc198879251"/>
      <w:r>
        <w:rPr>
          <w:rFonts w:ascii="Arial" w:hAnsi="Arial" w:cs="Arial"/>
        </w:rPr>
        <w:t xml:space="preserve">11.2 </w:t>
      </w:r>
      <w:r w:rsidR="00693288" w:rsidRPr="00D125EC">
        <w:rPr>
          <w:rFonts w:ascii="Arial" w:hAnsi="Arial" w:cs="Arial"/>
        </w:rPr>
        <w:t>UK-wide</w:t>
      </w:r>
      <w:bookmarkEnd w:id="60"/>
    </w:p>
    <w:p w14:paraId="250920C9" w14:textId="77777777" w:rsidR="00E953CB" w:rsidRPr="00D125EC" w:rsidRDefault="00EE2501" w:rsidP="00D125EC">
      <w:pPr>
        <w:pStyle w:val="Heading3"/>
        <w:spacing w:line="360" w:lineRule="auto"/>
        <w:rPr>
          <w:rFonts w:ascii="Arial" w:hAnsi="Arial" w:cs="Arial"/>
          <w:sz w:val="24"/>
          <w:szCs w:val="24"/>
        </w:rPr>
      </w:pPr>
      <w:r w:rsidRPr="00D125EC">
        <w:rPr>
          <w:rFonts w:ascii="Arial" w:hAnsi="Arial" w:cs="Arial"/>
          <w:sz w:val="24"/>
          <w:szCs w:val="24"/>
        </w:rPr>
        <w:t>Department for Energy Security and Net Zero (DESNZ) – UK Government department</w:t>
      </w:r>
      <w:r w:rsidR="00E953CB" w:rsidRPr="00D125EC">
        <w:rPr>
          <w:rFonts w:ascii="Arial" w:hAnsi="Arial" w:cs="Arial"/>
          <w:sz w:val="24"/>
          <w:szCs w:val="24"/>
        </w:rPr>
        <w:t xml:space="preserve">: </w:t>
      </w:r>
    </w:p>
    <w:p w14:paraId="07FAEF5C" w14:textId="6B8588C6" w:rsidR="00EE2501" w:rsidRPr="00D125EC" w:rsidRDefault="00EE2501" w:rsidP="00D125EC">
      <w:pPr>
        <w:pStyle w:val="ListParagraph"/>
        <w:numPr>
          <w:ilvl w:val="0"/>
          <w:numId w:val="4"/>
        </w:numPr>
        <w:spacing w:line="360" w:lineRule="auto"/>
        <w:rPr>
          <w:rFonts w:ascii="Arial" w:hAnsi="Arial" w:cs="Arial"/>
          <w:sz w:val="24"/>
          <w:szCs w:val="24"/>
        </w:rPr>
      </w:pPr>
      <w:r w:rsidRPr="00D125EC">
        <w:rPr>
          <w:rFonts w:ascii="Arial" w:hAnsi="Arial" w:cs="Arial"/>
          <w:sz w:val="24"/>
          <w:szCs w:val="24"/>
        </w:rPr>
        <w:t>Updates the Energy NPS, which mainly affects England but has limited applicability to Wales and Scotland</w:t>
      </w:r>
      <w:r w:rsidR="00E953CB" w:rsidRPr="00D125EC">
        <w:rPr>
          <w:rFonts w:ascii="Arial" w:hAnsi="Arial" w:cs="Arial"/>
          <w:sz w:val="24"/>
          <w:szCs w:val="24"/>
        </w:rPr>
        <w:t>.</w:t>
      </w:r>
    </w:p>
    <w:p w14:paraId="174EACDB" w14:textId="1A56311C" w:rsidR="00E953CB" w:rsidRPr="00D125EC" w:rsidRDefault="00E953CB" w:rsidP="00D125EC">
      <w:pPr>
        <w:pStyle w:val="Heading3"/>
        <w:spacing w:line="360" w:lineRule="auto"/>
        <w:rPr>
          <w:rFonts w:ascii="Arial" w:hAnsi="Arial" w:cs="Arial"/>
          <w:sz w:val="24"/>
          <w:szCs w:val="24"/>
        </w:rPr>
      </w:pPr>
      <w:r w:rsidRPr="00D125EC">
        <w:rPr>
          <w:rFonts w:ascii="Arial" w:hAnsi="Arial" w:cs="Arial"/>
          <w:sz w:val="24"/>
          <w:szCs w:val="24"/>
        </w:rPr>
        <w:t>National Infrastructure and Service Transformation Authority (NISTA) – A unit within HM Treasury:</w:t>
      </w:r>
    </w:p>
    <w:p w14:paraId="4DFA18C5" w14:textId="07FFE5A3" w:rsidR="00E953CB" w:rsidRPr="00D125EC" w:rsidRDefault="00E953CB" w:rsidP="00D125EC">
      <w:pPr>
        <w:pStyle w:val="ListParagraph"/>
        <w:numPr>
          <w:ilvl w:val="0"/>
          <w:numId w:val="4"/>
        </w:numPr>
        <w:spacing w:line="360" w:lineRule="auto"/>
        <w:rPr>
          <w:rFonts w:ascii="Arial" w:hAnsi="Arial" w:cs="Arial"/>
          <w:sz w:val="24"/>
          <w:szCs w:val="24"/>
        </w:rPr>
      </w:pPr>
      <w:r w:rsidRPr="00D125EC">
        <w:rPr>
          <w:rFonts w:ascii="Arial" w:hAnsi="Arial" w:cs="Arial"/>
          <w:sz w:val="24"/>
          <w:szCs w:val="24"/>
        </w:rPr>
        <w:t>Formed through a merger between the National Infrastructure Commission (NIC) and Infrastructure and Projects Authority (IPA)</w:t>
      </w:r>
    </w:p>
    <w:p w14:paraId="0E951529" w14:textId="77777777" w:rsidR="00E953CB" w:rsidRPr="00D125EC" w:rsidRDefault="00E953CB" w:rsidP="00D125EC">
      <w:pPr>
        <w:pStyle w:val="ListParagraph"/>
        <w:numPr>
          <w:ilvl w:val="0"/>
          <w:numId w:val="4"/>
        </w:numPr>
        <w:spacing w:line="360" w:lineRule="auto"/>
        <w:rPr>
          <w:rFonts w:ascii="Arial" w:hAnsi="Arial" w:cs="Arial"/>
          <w:sz w:val="24"/>
          <w:szCs w:val="24"/>
        </w:rPr>
      </w:pPr>
      <w:r w:rsidRPr="00D125EC">
        <w:rPr>
          <w:rFonts w:ascii="Arial" w:hAnsi="Arial" w:cs="Arial"/>
          <w:sz w:val="24"/>
          <w:szCs w:val="24"/>
        </w:rPr>
        <w:t>Before the merger, the NIC was responsible for assessing infrastructure needs in the UK and providing independent advice to the government; while the IPA monitored and reported on project delivery</w:t>
      </w:r>
    </w:p>
    <w:p w14:paraId="2CFE55B4" w14:textId="30D2EDFC" w:rsidR="0001455B" w:rsidRPr="00D125EC" w:rsidRDefault="00E953CB" w:rsidP="00D125EC">
      <w:pPr>
        <w:pStyle w:val="ListParagraph"/>
        <w:numPr>
          <w:ilvl w:val="0"/>
          <w:numId w:val="4"/>
        </w:numPr>
        <w:spacing w:line="360" w:lineRule="auto"/>
        <w:rPr>
          <w:rFonts w:ascii="Arial" w:hAnsi="Arial" w:cs="Arial"/>
          <w:sz w:val="24"/>
          <w:szCs w:val="24"/>
        </w:rPr>
      </w:pPr>
      <w:r w:rsidRPr="00D125EC">
        <w:rPr>
          <w:rFonts w:ascii="Arial" w:hAnsi="Arial" w:cs="Arial"/>
          <w:sz w:val="24"/>
          <w:szCs w:val="24"/>
        </w:rPr>
        <w:t>NISTA will lead the delivery of the new 10-year national infrastructure strategy</w:t>
      </w:r>
    </w:p>
    <w:p w14:paraId="5431A58F" w14:textId="2B7CB879" w:rsidR="00693288" w:rsidRPr="00D125EC" w:rsidRDefault="007E02EE">
      <w:pPr>
        <w:pStyle w:val="Heading2"/>
        <w:rPr>
          <w:rFonts w:ascii="Arial" w:hAnsi="Arial" w:cs="Arial"/>
        </w:rPr>
      </w:pPr>
      <w:bookmarkStart w:id="61" w:name="_Toc198879252"/>
      <w:r>
        <w:rPr>
          <w:rFonts w:ascii="Arial" w:hAnsi="Arial" w:cs="Arial"/>
        </w:rPr>
        <w:t xml:space="preserve">11.3 </w:t>
      </w:r>
      <w:r w:rsidR="00693288" w:rsidRPr="00D125EC">
        <w:rPr>
          <w:rFonts w:ascii="Arial" w:hAnsi="Arial" w:cs="Arial"/>
        </w:rPr>
        <w:t>Great Britain</w:t>
      </w:r>
      <w:bookmarkEnd w:id="61"/>
    </w:p>
    <w:p w14:paraId="14A81FF9" w14:textId="7E9F8101" w:rsidR="00E953CB" w:rsidRPr="00D125EC" w:rsidRDefault="00E953CB" w:rsidP="00D125EC">
      <w:pPr>
        <w:pStyle w:val="Heading3"/>
        <w:spacing w:line="360" w:lineRule="auto"/>
        <w:rPr>
          <w:rFonts w:ascii="Arial" w:hAnsi="Arial" w:cs="Arial"/>
          <w:sz w:val="24"/>
          <w:szCs w:val="24"/>
        </w:rPr>
      </w:pPr>
      <w:r w:rsidRPr="00D125EC">
        <w:rPr>
          <w:rFonts w:ascii="Arial" w:hAnsi="Arial" w:cs="Arial"/>
          <w:sz w:val="24"/>
          <w:szCs w:val="24"/>
        </w:rPr>
        <w:t>National Energy System Operator (NESO)</w:t>
      </w:r>
      <w:r w:rsidR="005F3B68" w:rsidRPr="00D125EC">
        <w:rPr>
          <w:rFonts w:ascii="Arial" w:hAnsi="Arial" w:cs="Arial"/>
          <w:sz w:val="24"/>
          <w:szCs w:val="24"/>
        </w:rPr>
        <w:t xml:space="preserve"> – Public corporation:</w:t>
      </w:r>
    </w:p>
    <w:p w14:paraId="47585F68" w14:textId="16078324" w:rsidR="005F3B68" w:rsidRPr="00D125EC" w:rsidRDefault="005F3B68"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Energy system planner and operator</w:t>
      </w:r>
    </w:p>
    <w:p w14:paraId="2450E822" w14:textId="3C6C6986" w:rsidR="005F3B68" w:rsidRPr="00D125EC" w:rsidRDefault="005F3B68"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Responsible for developing the Strategic Spatial Energy Plan</w:t>
      </w:r>
    </w:p>
    <w:p w14:paraId="05A15AED" w14:textId="660D8A7E" w:rsidR="00E953CB" w:rsidRPr="00D125EC" w:rsidRDefault="005F3B68"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Responsible for producing Regional Energy Spatial Plans</w:t>
      </w:r>
    </w:p>
    <w:p w14:paraId="199FA879" w14:textId="4DA32FCA" w:rsidR="00693288" w:rsidRPr="00D125EC" w:rsidRDefault="00F23E5B">
      <w:pPr>
        <w:pStyle w:val="Heading2"/>
        <w:rPr>
          <w:rFonts w:ascii="Arial" w:hAnsi="Arial" w:cs="Arial"/>
        </w:rPr>
      </w:pPr>
      <w:bookmarkStart w:id="62" w:name="_Toc198879253"/>
      <w:r>
        <w:rPr>
          <w:rFonts w:ascii="Arial" w:hAnsi="Arial" w:cs="Arial"/>
        </w:rPr>
        <w:lastRenderedPageBreak/>
        <w:t xml:space="preserve">11.4 </w:t>
      </w:r>
      <w:r w:rsidR="00693288" w:rsidRPr="00D125EC">
        <w:rPr>
          <w:rFonts w:ascii="Arial" w:hAnsi="Arial" w:cs="Arial"/>
        </w:rPr>
        <w:t>England – national level</w:t>
      </w:r>
      <w:bookmarkEnd w:id="62"/>
    </w:p>
    <w:p w14:paraId="226C5628" w14:textId="33DE1450" w:rsidR="005F3B68" w:rsidRPr="00D125EC" w:rsidRDefault="005F3B68" w:rsidP="00D125EC">
      <w:pPr>
        <w:pStyle w:val="Heading3"/>
        <w:spacing w:line="360" w:lineRule="auto"/>
        <w:rPr>
          <w:rFonts w:ascii="Arial" w:hAnsi="Arial" w:cs="Arial"/>
          <w:sz w:val="24"/>
          <w:szCs w:val="24"/>
        </w:rPr>
      </w:pPr>
      <w:r w:rsidRPr="00D125EC">
        <w:rPr>
          <w:rFonts w:ascii="Arial" w:hAnsi="Arial" w:cs="Arial"/>
          <w:sz w:val="24"/>
          <w:szCs w:val="24"/>
        </w:rPr>
        <w:t>Minist</w:t>
      </w:r>
      <w:r w:rsidR="00580A62" w:rsidRPr="00D125EC">
        <w:rPr>
          <w:rFonts w:ascii="Arial" w:hAnsi="Arial" w:cs="Arial"/>
          <w:sz w:val="24"/>
          <w:szCs w:val="24"/>
        </w:rPr>
        <w:t>ry of Housing, Communities and Local Government (MHCLG) – UK Government department:</w:t>
      </w:r>
    </w:p>
    <w:p w14:paraId="5CFB21DD" w14:textId="0ED82A89" w:rsidR="00580A62" w:rsidRPr="00D125EC" w:rsidRDefault="00580A62"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Oversees the planning system, including reforms to the NSIP regime, the new plan making process and NPPF revisions</w:t>
      </w:r>
    </w:p>
    <w:p w14:paraId="463AD083" w14:textId="4EFF08AD" w:rsidR="00580A62" w:rsidRPr="00D125EC" w:rsidRDefault="00580A62" w:rsidP="00D125EC">
      <w:pPr>
        <w:pStyle w:val="Heading3"/>
        <w:spacing w:line="360" w:lineRule="auto"/>
        <w:rPr>
          <w:rFonts w:ascii="Arial" w:hAnsi="Arial" w:cs="Arial"/>
          <w:sz w:val="24"/>
          <w:szCs w:val="24"/>
        </w:rPr>
      </w:pPr>
      <w:r w:rsidRPr="00D125EC">
        <w:rPr>
          <w:rFonts w:ascii="Arial" w:hAnsi="Arial" w:cs="Arial"/>
          <w:sz w:val="24"/>
          <w:szCs w:val="24"/>
        </w:rPr>
        <w:t>Planning Inspectorate – Executive agency of MHCLG</w:t>
      </w:r>
    </w:p>
    <w:p w14:paraId="2715EC76" w14:textId="1DE7DDD5" w:rsidR="00580A62" w:rsidRPr="00D125EC" w:rsidRDefault="00580A62"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Examines NSIP applications</w:t>
      </w:r>
    </w:p>
    <w:p w14:paraId="0F1D3041" w14:textId="21C591B4" w:rsidR="00580A62" w:rsidRPr="00D125EC" w:rsidRDefault="00580A62"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Examines local plans</w:t>
      </w:r>
    </w:p>
    <w:p w14:paraId="285DFB5C" w14:textId="6C7944A4" w:rsidR="00580A62" w:rsidRPr="00D125EC" w:rsidRDefault="00580A62"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Deals with planning appeals</w:t>
      </w:r>
    </w:p>
    <w:p w14:paraId="747DF893" w14:textId="11180935" w:rsidR="00693288" w:rsidRPr="00D125EC" w:rsidRDefault="00F23E5B">
      <w:pPr>
        <w:pStyle w:val="Heading2"/>
        <w:rPr>
          <w:rFonts w:ascii="Arial" w:hAnsi="Arial" w:cs="Arial"/>
        </w:rPr>
      </w:pPr>
      <w:bookmarkStart w:id="63" w:name="_Toc198879254"/>
      <w:r>
        <w:rPr>
          <w:rFonts w:ascii="Arial" w:hAnsi="Arial" w:cs="Arial"/>
        </w:rPr>
        <w:t xml:space="preserve">11.5 </w:t>
      </w:r>
      <w:r w:rsidR="00693288" w:rsidRPr="00D125EC">
        <w:rPr>
          <w:rFonts w:ascii="Arial" w:hAnsi="Arial" w:cs="Arial"/>
        </w:rPr>
        <w:t>Scotland -</w:t>
      </w:r>
      <w:r w:rsidR="000B098F" w:rsidRPr="00D125EC">
        <w:rPr>
          <w:rFonts w:ascii="Arial" w:hAnsi="Arial" w:cs="Arial"/>
        </w:rPr>
        <w:t xml:space="preserve"> </w:t>
      </w:r>
      <w:r w:rsidR="00693288" w:rsidRPr="00D125EC">
        <w:rPr>
          <w:rFonts w:ascii="Arial" w:hAnsi="Arial" w:cs="Arial"/>
        </w:rPr>
        <w:t>national level</w:t>
      </w:r>
      <w:bookmarkEnd w:id="63"/>
    </w:p>
    <w:p w14:paraId="5857156A" w14:textId="199C9A1E" w:rsidR="00611899" w:rsidRPr="00D125EC" w:rsidRDefault="008824E0" w:rsidP="00D125EC">
      <w:pPr>
        <w:pStyle w:val="Heading3"/>
        <w:spacing w:line="360" w:lineRule="auto"/>
        <w:rPr>
          <w:rFonts w:ascii="Arial" w:hAnsi="Arial" w:cs="Arial"/>
          <w:sz w:val="24"/>
          <w:szCs w:val="24"/>
        </w:rPr>
      </w:pPr>
      <w:r w:rsidRPr="00D125EC">
        <w:rPr>
          <w:rFonts w:ascii="Arial" w:hAnsi="Arial" w:cs="Arial"/>
          <w:sz w:val="24"/>
          <w:szCs w:val="24"/>
        </w:rPr>
        <w:t>Local Government and Housing Directorate</w:t>
      </w:r>
      <w:r w:rsidR="00141FA3" w:rsidRPr="00D125EC">
        <w:rPr>
          <w:rFonts w:ascii="Arial" w:hAnsi="Arial" w:cs="Arial"/>
          <w:sz w:val="24"/>
          <w:szCs w:val="24"/>
        </w:rPr>
        <w:t xml:space="preserve"> – Scottish Government directorate:</w:t>
      </w:r>
    </w:p>
    <w:p w14:paraId="75A41BF4" w14:textId="77777777" w:rsidR="00141FA3" w:rsidRPr="00D125EC" w:rsidRDefault="00141FA3"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Oversees the publication of the NPF4</w:t>
      </w:r>
    </w:p>
    <w:p w14:paraId="3B8C1133" w14:textId="33D14E63" w:rsidR="00141FA3" w:rsidRPr="00D125EC" w:rsidRDefault="00141FA3" w:rsidP="00D125EC">
      <w:pPr>
        <w:pStyle w:val="ListParagraph"/>
        <w:numPr>
          <w:ilvl w:val="0"/>
          <w:numId w:val="29"/>
        </w:numPr>
        <w:spacing w:line="360" w:lineRule="auto"/>
        <w:rPr>
          <w:rFonts w:ascii="Arial" w:hAnsi="Arial" w:cs="Arial"/>
          <w:sz w:val="24"/>
          <w:szCs w:val="24"/>
        </w:rPr>
      </w:pPr>
      <w:r w:rsidRPr="00D125EC">
        <w:rPr>
          <w:rFonts w:ascii="Arial" w:hAnsi="Arial" w:cs="Arial"/>
          <w:sz w:val="24"/>
          <w:szCs w:val="24"/>
        </w:rPr>
        <w:t>Acts as a centre of expertise on local government and community planning</w:t>
      </w:r>
    </w:p>
    <w:p w14:paraId="74F0D75D" w14:textId="4D74F525" w:rsidR="00FF4D56" w:rsidRPr="00D125EC" w:rsidRDefault="00FF4D56" w:rsidP="00D125EC">
      <w:pPr>
        <w:pStyle w:val="Heading3"/>
        <w:spacing w:line="360" w:lineRule="auto"/>
        <w:rPr>
          <w:rFonts w:ascii="Arial" w:hAnsi="Arial" w:cs="Arial"/>
          <w:sz w:val="24"/>
          <w:szCs w:val="24"/>
        </w:rPr>
      </w:pPr>
      <w:r w:rsidRPr="00D125EC">
        <w:rPr>
          <w:rFonts w:ascii="Arial" w:hAnsi="Arial" w:cs="Arial"/>
          <w:sz w:val="24"/>
          <w:szCs w:val="24"/>
        </w:rPr>
        <w:t>Planning, Architecture and Regeneration Directorate – Scottish Government directorate:</w:t>
      </w:r>
    </w:p>
    <w:p w14:paraId="46E99500" w14:textId="42C5BE2F" w:rsidR="00FF4D56" w:rsidRPr="00D125EC" w:rsidRDefault="00FF4D56"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Delivers Scottish government’s work on planning and consenting</w:t>
      </w:r>
    </w:p>
    <w:p w14:paraId="494A0384" w14:textId="13564CA3" w:rsidR="00FF4D56" w:rsidRPr="00D125EC" w:rsidRDefault="00FF4D56" w:rsidP="00D125EC">
      <w:pPr>
        <w:pStyle w:val="Heading3"/>
        <w:spacing w:line="360" w:lineRule="auto"/>
        <w:rPr>
          <w:rFonts w:ascii="Arial" w:hAnsi="Arial" w:cs="Arial"/>
          <w:sz w:val="24"/>
          <w:szCs w:val="24"/>
        </w:rPr>
      </w:pPr>
      <w:r w:rsidRPr="00D125EC">
        <w:rPr>
          <w:rFonts w:ascii="Arial" w:hAnsi="Arial" w:cs="Arial"/>
          <w:sz w:val="24"/>
          <w:szCs w:val="24"/>
        </w:rPr>
        <w:t>Energy Consents Unit – Scottish Government unit:</w:t>
      </w:r>
    </w:p>
    <w:p w14:paraId="58AAF4BA" w14:textId="77777777" w:rsidR="00FF4D56" w:rsidRPr="00D125EC" w:rsidRDefault="00FF4D56"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Examines NSIP applications</w:t>
      </w:r>
    </w:p>
    <w:p w14:paraId="317B679A" w14:textId="77777777" w:rsidR="00FF4D56" w:rsidRPr="00D125EC" w:rsidRDefault="00FF4D56"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Examines local plans</w:t>
      </w:r>
    </w:p>
    <w:p w14:paraId="7738E92A" w14:textId="6642453A" w:rsidR="00FF4D56" w:rsidRPr="00D125EC" w:rsidRDefault="00FF4D56"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Deals with planning appeals</w:t>
      </w:r>
    </w:p>
    <w:p w14:paraId="359E45A5" w14:textId="7AB20700" w:rsidR="00FF4D56" w:rsidRPr="00D125EC" w:rsidRDefault="00A1428D" w:rsidP="00D125EC">
      <w:pPr>
        <w:pStyle w:val="Heading3"/>
        <w:spacing w:line="360" w:lineRule="auto"/>
        <w:rPr>
          <w:rFonts w:ascii="Arial" w:hAnsi="Arial" w:cs="Arial"/>
          <w:sz w:val="24"/>
          <w:szCs w:val="24"/>
        </w:rPr>
      </w:pPr>
      <w:r w:rsidRPr="00D125EC">
        <w:rPr>
          <w:rFonts w:ascii="Arial" w:hAnsi="Arial" w:cs="Arial"/>
          <w:sz w:val="24"/>
          <w:szCs w:val="24"/>
        </w:rPr>
        <w:t>Marine Scotland – Scottish Government directorate</w:t>
      </w:r>
    </w:p>
    <w:p w14:paraId="4F5A39C3" w14:textId="719C862F" w:rsidR="00A1428D" w:rsidRPr="00D125EC" w:rsidRDefault="00A1428D"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Considers applications for offshore wind, wave and tidal energy projects</w:t>
      </w:r>
    </w:p>
    <w:p w14:paraId="5CB783B9" w14:textId="33801F02" w:rsidR="006F7DA9" w:rsidRPr="00D125EC" w:rsidRDefault="006F7DA9" w:rsidP="00D125EC">
      <w:pPr>
        <w:pStyle w:val="Heading3"/>
        <w:spacing w:line="360" w:lineRule="auto"/>
        <w:rPr>
          <w:rFonts w:ascii="Arial" w:hAnsi="Arial" w:cs="Arial"/>
          <w:sz w:val="24"/>
          <w:szCs w:val="24"/>
        </w:rPr>
      </w:pPr>
      <w:r w:rsidRPr="00D125EC">
        <w:rPr>
          <w:rFonts w:ascii="Arial" w:hAnsi="Arial" w:cs="Arial"/>
          <w:sz w:val="24"/>
          <w:szCs w:val="24"/>
        </w:rPr>
        <w:t>Planning and Environmental Appeal Division</w:t>
      </w:r>
      <w:r w:rsidR="0019139F" w:rsidRPr="00D125EC">
        <w:rPr>
          <w:rFonts w:ascii="Arial" w:hAnsi="Arial" w:cs="Arial"/>
          <w:sz w:val="24"/>
          <w:szCs w:val="24"/>
        </w:rPr>
        <w:t xml:space="preserve"> – Scottish Government division</w:t>
      </w:r>
    </w:p>
    <w:p w14:paraId="521520B0" w14:textId="33A399A4" w:rsidR="0019139F" w:rsidRPr="00D125EC" w:rsidRDefault="0019139F"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Handles planning appeals</w:t>
      </w:r>
    </w:p>
    <w:p w14:paraId="68BADDC3" w14:textId="432DC64E" w:rsidR="00693288" w:rsidRPr="00D125EC" w:rsidRDefault="00F23E5B">
      <w:pPr>
        <w:pStyle w:val="Heading2"/>
        <w:rPr>
          <w:rFonts w:ascii="Arial" w:hAnsi="Arial" w:cs="Arial"/>
        </w:rPr>
      </w:pPr>
      <w:bookmarkStart w:id="64" w:name="_Toc198879255"/>
      <w:r>
        <w:rPr>
          <w:rFonts w:ascii="Arial" w:hAnsi="Arial" w:cs="Arial"/>
        </w:rPr>
        <w:t xml:space="preserve">11.6 </w:t>
      </w:r>
      <w:r w:rsidR="00693288" w:rsidRPr="00D125EC">
        <w:rPr>
          <w:rFonts w:ascii="Arial" w:hAnsi="Arial" w:cs="Arial"/>
        </w:rPr>
        <w:t>Wales – national level</w:t>
      </w:r>
      <w:bookmarkEnd w:id="64"/>
      <w:r w:rsidR="00693288" w:rsidRPr="00D125EC">
        <w:rPr>
          <w:rFonts w:ascii="Arial" w:hAnsi="Arial" w:cs="Arial"/>
        </w:rPr>
        <w:t xml:space="preserve"> </w:t>
      </w:r>
    </w:p>
    <w:p w14:paraId="094F321E" w14:textId="77777777" w:rsidR="008D485C" w:rsidRPr="00D125EC" w:rsidRDefault="008D485C" w:rsidP="00D125EC">
      <w:pPr>
        <w:rPr>
          <w:rFonts w:ascii="Arial" w:hAnsi="Arial" w:cs="Arial"/>
        </w:rPr>
      </w:pPr>
    </w:p>
    <w:p w14:paraId="5C5F768B" w14:textId="0815EE50" w:rsidR="0019139F" w:rsidRPr="00D125EC" w:rsidRDefault="0019139F" w:rsidP="00D125EC">
      <w:pPr>
        <w:pStyle w:val="Heading3"/>
        <w:spacing w:line="360" w:lineRule="auto"/>
        <w:rPr>
          <w:rFonts w:ascii="Arial" w:hAnsi="Arial" w:cs="Arial"/>
          <w:sz w:val="24"/>
          <w:szCs w:val="24"/>
        </w:rPr>
      </w:pPr>
      <w:r w:rsidRPr="00D125EC">
        <w:rPr>
          <w:rFonts w:ascii="Arial" w:hAnsi="Arial" w:cs="Arial"/>
          <w:sz w:val="24"/>
          <w:szCs w:val="24"/>
        </w:rPr>
        <w:t xml:space="preserve">The Welsh </w:t>
      </w:r>
      <w:r w:rsidR="00F266E6" w:rsidRPr="00D125EC">
        <w:rPr>
          <w:rFonts w:ascii="Arial" w:hAnsi="Arial" w:cs="Arial"/>
          <w:sz w:val="24"/>
          <w:szCs w:val="24"/>
        </w:rPr>
        <w:t>Government</w:t>
      </w:r>
    </w:p>
    <w:p w14:paraId="384EBF83" w14:textId="7B4B249F" w:rsidR="00F266E6" w:rsidRPr="00D125EC" w:rsidRDefault="00F266E6"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t>Publishes Future Wales</w:t>
      </w:r>
    </w:p>
    <w:p w14:paraId="2E637E46" w14:textId="31E04F09" w:rsidR="00F266E6" w:rsidRPr="00D125EC" w:rsidRDefault="00F266E6" w:rsidP="00D125EC">
      <w:pPr>
        <w:pStyle w:val="ListParagraph"/>
        <w:numPr>
          <w:ilvl w:val="0"/>
          <w:numId w:val="30"/>
        </w:numPr>
        <w:spacing w:line="360" w:lineRule="auto"/>
        <w:rPr>
          <w:rFonts w:ascii="Arial" w:hAnsi="Arial" w:cs="Arial"/>
          <w:sz w:val="24"/>
          <w:szCs w:val="24"/>
        </w:rPr>
      </w:pPr>
      <w:r w:rsidRPr="00D125EC">
        <w:rPr>
          <w:rFonts w:ascii="Arial" w:hAnsi="Arial" w:cs="Arial"/>
          <w:sz w:val="24"/>
          <w:szCs w:val="24"/>
        </w:rPr>
        <w:lastRenderedPageBreak/>
        <w:t>Oversees housing and local government</w:t>
      </w:r>
    </w:p>
    <w:p w14:paraId="1BB1475D" w14:textId="1C45AF82" w:rsidR="0090091C" w:rsidRPr="00D125EC" w:rsidRDefault="0090091C" w:rsidP="00D125EC">
      <w:pPr>
        <w:pStyle w:val="Heading3"/>
        <w:spacing w:line="360" w:lineRule="auto"/>
        <w:rPr>
          <w:rFonts w:ascii="Arial" w:hAnsi="Arial" w:cs="Arial"/>
          <w:sz w:val="24"/>
          <w:szCs w:val="24"/>
        </w:rPr>
      </w:pPr>
      <w:r w:rsidRPr="00D125EC">
        <w:rPr>
          <w:rFonts w:ascii="Arial" w:hAnsi="Arial" w:cs="Arial"/>
          <w:sz w:val="24"/>
          <w:szCs w:val="24"/>
        </w:rPr>
        <w:t>Planning and Environment D</w:t>
      </w:r>
      <w:r w:rsidR="0060415F" w:rsidRPr="00D125EC">
        <w:rPr>
          <w:rFonts w:ascii="Arial" w:hAnsi="Arial" w:cs="Arial"/>
          <w:sz w:val="24"/>
          <w:szCs w:val="24"/>
        </w:rPr>
        <w:t>ecisions Wales – Welsh Government division</w:t>
      </w:r>
    </w:p>
    <w:p w14:paraId="0F332F6D" w14:textId="60FB468F" w:rsidR="0073636B" w:rsidRPr="00D125EC" w:rsidRDefault="0073636B" w:rsidP="00D125EC">
      <w:pPr>
        <w:pStyle w:val="ListParagraph"/>
        <w:numPr>
          <w:ilvl w:val="0"/>
          <w:numId w:val="31"/>
        </w:numPr>
        <w:spacing w:line="360" w:lineRule="auto"/>
        <w:rPr>
          <w:rFonts w:ascii="Arial" w:hAnsi="Arial" w:cs="Arial"/>
          <w:sz w:val="24"/>
          <w:szCs w:val="24"/>
        </w:rPr>
      </w:pPr>
      <w:r w:rsidRPr="00D125EC">
        <w:rPr>
          <w:rFonts w:ascii="Arial" w:hAnsi="Arial" w:cs="Arial"/>
          <w:sz w:val="24"/>
          <w:szCs w:val="24"/>
        </w:rPr>
        <w:t>Examines DNS applications</w:t>
      </w:r>
    </w:p>
    <w:p w14:paraId="01BAD1ED" w14:textId="530923DA" w:rsidR="0073636B" w:rsidRPr="00D125EC" w:rsidRDefault="0073636B" w:rsidP="00D125EC">
      <w:pPr>
        <w:pStyle w:val="ListParagraph"/>
        <w:numPr>
          <w:ilvl w:val="0"/>
          <w:numId w:val="31"/>
        </w:numPr>
        <w:spacing w:line="360" w:lineRule="auto"/>
        <w:rPr>
          <w:rFonts w:ascii="Arial" w:hAnsi="Arial" w:cs="Arial"/>
          <w:sz w:val="24"/>
          <w:szCs w:val="24"/>
        </w:rPr>
      </w:pPr>
      <w:r w:rsidRPr="00D125EC">
        <w:rPr>
          <w:rFonts w:ascii="Arial" w:hAnsi="Arial" w:cs="Arial"/>
          <w:sz w:val="24"/>
          <w:szCs w:val="24"/>
        </w:rPr>
        <w:t>Handles planning appeals</w:t>
      </w:r>
    </w:p>
    <w:p w14:paraId="6A67C24A" w14:textId="59CFB419" w:rsidR="0073636B" w:rsidRPr="00D125EC" w:rsidRDefault="0073636B" w:rsidP="00D125EC">
      <w:pPr>
        <w:pStyle w:val="Heading3"/>
        <w:spacing w:line="360" w:lineRule="auto"/>
        <w:rPr>
          <w:rFonts w:ascii="Arial" w:hAnsi="Arial" w:cs="Arial"/>
          <w:sz w:val="24"/>
          <w:szCs w:val="24"/>
        </w:rPr>
      </w:pPr>
      <w:r w:rsidRPr="00D125EC">
        <w:rPr>
          <w:rFonts w:ascii="Arial" w:hAnsi="Arial" w:cs="Arial"/>
          <w:sz w:val="24"/>
          <w:szCs w:val="24"/>
        </w:rPr>
        <w:t xml:space="preserve">National Infrastructure Commission for Wales – </w:t>
      </w:r>
      <w:r w:rsidR="007276C9" w:rsidRPr="00D125EC">
        <w:rPr>
          <w:rFonts w:ascii="Arial" w:hAnsi="Arial" w:cs="Arial"/>
          <w:sz w:val="24"/>
          <w:szCs w:val="24"/>
        </w:rPr>
        <w:t>Non-statutory advisory panel</w:t>
      </w:r>
      <w:r w:rsidRPr="00D125EC">
        <w:rPr>
          <w:rFonts w:ascii="Arial" w:hAnsi="Arial" w:cs="Arial"/>
          <w:sz w:val="24"/>
          <w:szCs w:val="24"/>
        </w:rPr>
        <w:t xml:space="preserve"> </w:t>
      </w:r>
    </w:p>
    <w:p w14:paraId="28B8F91D" w14:textId="6A42583F" w:rsidR="007276C9" w:rsidRPr="00D125EC" w:rsidRDefault="007276C9" w:rsidP="00D125EC">
      <w:pPr>
        <w:pStyle w:val="ListParagraph"/>
        <w:numPr>
          <w:ilvl w:val="0"/>
          <w:numId w:val="31"/>
        </w:numPr>
        <w:spacing w:line="360" w:lineRule="auto"/>
        <w:rPr>
          <w:rFonts w:ascii="Arial" w:hAnsi="Arial" w:cs="Arial"/>
          <w:sz w:val="24"/>
          <w:szCs w:val="24"/>
        </w:rPr>
      </w:pPr>
      <w:r w:rsidRPr="00D125EC">
        <w:rPr>
          <w:rFonts w:ascii="Arial" w:hAnsi="Arial" w:cs="Arial"/>
          <w:sz w:val="24"/>
          <w:szCs w:val="24"/>
        </w:rPr>
        <w:t>Provides independent advice on infrastructure for Welsh ministers</w:t>
      </w:r>
    </w:p>
    <w:p w14:paraId="5B2D06AE" w14:textId="49676965" w:rsidR="007276C9" w:rsidRPr="00D125EC" w:rsidRDefault="007276C9" w:rsidP="00D125EC">
      <w:pPr>
        <w:pStyle w:val="Heading3"/>
        <w:spacing w:line="360" w:lineRule="auto"/>
        <w:rPr>
          <w:rFonts w:ascii="Arial" w:hAnsi="Arial" w:cs="Arial"/>
          <w:sz w:val="24"/>
          <w:szCs w:val="24"/>
        </w:rPr>
      </w:pPr>
      <w:r w:rsidRPr="00D125EC">
        <w:rPr>
          <w:rFonts w:ascii="Arial" w:hAnsi="Arial" w:cs="Arial"/>
          <w:sz w:val="24"/>
          <w:szCs w:val="24"/>
        </w:rPr>
        <w:t xml:space="preserve">Natural Resources Wales </w:t>
      </w:r>
      <w:r w:rsidR="00720795" w:rsidRPr="00D125EC">
        <w:rPr>
          <w:rFonts w:ascii="Arial" w:hAnsi="Arial" w:cs="Arial"/>
          <w:sz w:val="24"/>
          <w:szCs w:val="24"/>
        </w:rPr>
        <w:t>–</w:t>
      </w:r>
      <w:r w:rsidRPr="00D125EC">
        <w:rPr>
          <w:rFonts w:ascii="Arial" w:hAnsi="Arial" w:cs="Arial"/>
          <w:sz w:val="24"/>
          <w:szCs w:val="24"/>
        </w:rPr>
        <w:t xml:space="preserve"> </w:t>
      </w:r>
      <w:r w:rsidR="00720795" w:rsidRPr="00D125EC">
        <w:rPr>
          <w:rFonts w:ascii="Arial" w:hAnsi="Arial" w:cs="Arial"/>
          <w:sz w:val="24"/>
          <w:szCs w:val="24"/>
        </w:rPr>
        <w:t>Welsh government-sponsored body</w:t>
      </w:r>
    </w:p>
    <w:p w14:paraId="771C2EF2" w14:textId="77777777" w:rsidR="00720795" w:rsidRPr="00D125EC" w:rsidRDefault="00720795" w:rsidP="00D125EC">
      <w:pPr>
        <w:pStyle w:val="ListParagraph"/>
        <w:numPr>
          <w:ilvl w:val="0"/>
          <w:numId w:val="31"/>
        </w:numPr>
        <w:spacing w:line="360" w:lineRule="auto"/>
        <w:rPr>
          <w:rFonts w:ascii="Arial" w:hAnsi="Arial" w:cs="Arial"/>
          <w:sz w:val="24"/>
          <w:szCs w:val="24"/>
        </w:rPr>
      </w:pPr>
      <w:r w:rsidRPr="00D125EC">
        <w:rPr>
          <w:rFonts w:ascii="Arial" w:hAnsi="Arial" w:cs="Arial"/>
          <w:sz w:val="24"/>
          <w:szCs w:val="24"/>
        </w:rPr>
        <w:t xml:space="preserve">Statutory consultee </w:t>
      </w:r>
    </w:p>
    <w:p w14:paraId="0F41F480" w14:textId="77777777" w:rsidR="00720795" w:rsidRPr="00D125EC" w:rsidRDefault="00720795" w:rsidP="00D125EC">
      <w:pPr>
        <w:pStyle w:val="ListParagraph"/>
        <w:numPr>
          <w:ilvl w:val="0"/>
          <w:numId w:val="31"/>
        </w:numPr>
        <w:spacing w:line="360" w:lineRule="auto"/>
        <w:rPr>
          <w:rFonts w:ascii="Arial" w:hAnsi="Arial" w:cs="Arial"/>
          <w:sz w:val="24"/>
          <w:szCs w:val="24"/>
        </w:rPr>
      </w:pPr>
      <w:r w:rsidRPr="00D125EC">
        <w:rPr>
          <w:rFonts w:ascii="Arial" w:hAnsi="Arial" w:cs="Arial"/>
          <w:sz w:val="24"/>
          <w:szCs w:val="24"/>
        </w:rPr>
        <w:t>Advise local planning authorities preparing local development plans</w:t>
      </w:r>
    </w:p>
    <w:p w14:paraId="1C9DF6B5" w14:textId="704D8C44" w:rsidR="007276C9" w:rsidRPr="00D125EC" w:rsidRDefault="00720795" w:rsidP="00D125EC">
      <w:pPr>
        <w:pStyle w:val="ListParagraph"/>
        <w:numPr>
          <w:ilvl w:val="0"/>
          <w:numId w:val="31"/>
        </w:numPr>
        <w:spacing w:line="360" w:lineRule="auto"/>
        <w:rPr>
          <w:rFonts w:ascii="Arial" w:hAnsi="Arial" w:cs="Arial"/>
          <w:sz w:val="24"/>
          <w:szCs w:val="24"/>
        </w:rPr>
      </w:pPr>
      <w:r w:rsidRPr="00D125EC">
        <w:rPr>
          <w:rFonts w:ascii="Arial" w:hAnsi="Arial" w:cs="Arial"/>
          <w:sz w:val="24"/>
          <w:szCs w:val="24"/>
        </w:rPr>
        <w:t>Marine/ Species licensing</w:t>
      </w:r>
    </w:p>
    <w:p w14:paraId="4A03B75C" w14:textId="093C56DA" w:rsidR="00693288" w:rsidRPr="00D125EC" w:rsidRDefault="00F23E5B">
      <w:pPr>
        <w:pStyle w:val="Heading2"/>
        <w:rPr>
          <w:rFonts w:ascii="Arial" w:hAnsi="Arial" w:cs="Arial"/>
        </w:rPr>
      </w:pPr>
      <w:bookmarkStart w:id="65" w:name="_Toc198879256"/>
      <w:r>
        <w:rPr>
          <w:rFonts w:ascii="Arial" w:hAnsi="Arial" w:cs="Arial"/>
        </w:rPr>
        <w:t xml:space="preserve">11.7 </w:t>
      </w:r>
      <w:r w:rsidR="00693288" w:rsidRPr="00D125EC">
        <w:rPr>
          <w:rFonts w:ascii="Arial" w:hAnsi="Arial" w:cs="Arial"/>
        </w:rPr>
        <w:t xml:space="preserve">Northern Ireland – </w:t>
      </w:r>
      <w:r w:rsidR="000607EE" w:rsidRPr="00D125EC">
        <w:rPr>
          <w:rFonts w:ascii="Arial" w:hAnsi="Arial" w:cs="Arial"/>
        </w:rPr>
        <w:t>Regional</w:t>
      </w:r>
      <w:r w:rsidR="00693288" w:rsidRPr="00D125EC">
        <w:rPr>
          <w:rFonts w:ascii="Arial" w:hAnsi="Arial" w:cs="Arial"/>
        </w:rPr>
        <w:t xml:space="preserve"> level</w:t>
      </w:r>
      <w:bookmarkEnd w:id="65"/>
      <w:r w:rsidR="00693288" w:rsidRPr="00D125EC">
        <w:rPr>
          <w:rFonts w:ascii="Arial" w:hAnsi="Arial" w:cs="Arial"/>
        </w:rPr>
        <w:t xml:space="preserve"> </w:t>
      </w:r>
    </w:p>
    <w:p w14:paraId="15572872" w14:textId="7876A9E8" w:rsidR="0033186A" w:rsidRPr="00D125EC" w:rsidRDefault="0033186A" w:rsidP="00D125EC">
      <w:pPr>
        <w:pStyle w:val="Heading3"/>
        <w:spacing w:line="360" w:lineRule="auto"/>
        <w:rPr>
          <w:rFonts w:ascii="Arial" w:hAnsi="Arial" w:cs="Arial"/>
          <w:sz w:val="24"/>
          <w:szCs w:val="24"/>
        </w:rPr>
      </w:pPr>
      <w:r w:rsidRPr="00D125EC">
        <w:rPr>
          <w:rFonts w:ascii="Arial" w:hAnsi="Arial" w:cs="Arial"/>
          <w:sz w:val="24"/>
          <w:szCs w:val="24"/>
        </w:rPr>
        <w:t xml:space="preserve">Department for Infrastructure – </w:t>
      </w:r>
      <w:r w:rsidR="006F607C" w:rsidRPr="00D125EC">
        <w:rPr>
          <w:rFonts w:ascii="Arial" w:hAnsi="Arial" w:cs="Arial"/>
          <w:sz w:val="24"/>
          <w:szCs w:val="24"/>
        </w:rPr>
        <w:t>Government Department in the Northern Ireland Executive</w:t>
      </w:r>
    </w:p>
    <w:p w14:paraId="527845FA" w14:textId="612F2670" w:rsidR="000607EE" w:rsidRPr="00D125EC" w:rsidRDefault="000607EE" w:rsidP="00D125EC">
      <w:pPr>
        <w:pStyle w:val="ListParagraph"/>
        <w:numPr>
          <w:ilvl w:val="0"/>
          <w:numId w:val="32"/>
        </w:numPr>
        <w:spacing w:line="360" w:lineRule="auto"/>
        <w:rPr>
          <w:rFonts w:ascii="Arial" w:hAnsi="Arial" w:cs="Arial"/>
          <w:sz w:val="24"/>
          <w:szCs w:val="24"/>
        </w:rPr>
      </w:pPr>
      <w:r w:rsidRPr="00D125EC">
        <w:rPr>
          <w:rFonts w:ascii="Arial" w:hAnsi="Arial" w:cs="Arial"/>
          <w:sz w:val="24"/>
          <w:szCs w:val="24"/>
        </w:rPr>
        <w:t>Determines regionally significant planning applications</w:t>
      </w:r>
    </w:p>
    <w:p w14:paraId="05696C66" w14:textId="0C5E73BD" w:rsidR="000607EE" w:rsidRPr="00D125EC" w:rsidRDefault="000607EE" w:rsidP="00D125EC">
      <w:pPr>
        <w:pStyle w:val="ListParagraph"/>
        <w:numPr>
          <w:ilvl w:val="0"/>
          <w:numId w:val="32"/>
        </w:numPr>
        <w:spacing w:line="360" w:lineRule="auto"/>
        <w:rPr>
          <w:rFonts w:ascii="Arial" w:hAnsi="Arial" w:cs="Arial"/>
          <w:sz w:val="24"/>
          <w:szCs w:val="24"/>
        </w:rPr>
      </w:pPr>
      <w:r w:rsidRPr="00D125EC">
        <w:rPr>
          <w:rFonts w:ascii="Arial" w:hAnsi="Arial" w:cs="Arial"/>
          <w:sz w:val="24"/>
          <w:szCs w:val="24"/>
        </w:rPr>
        <w:t>Prepares the Strategic Planning Policy Statement</w:t>
      </w:r>
    </w:p>
    <w:p w14:paraId="748C727C" w14:textId="706B813E" w:rsidR="000607EE" w:rsidRPr="00D125EC" w:rsidRDefault="000607EE" w:rsidP="00D125EC">
      <w:pPr>
        <w:pStyle w:val="Heading3"/>
        <w:spacing w:line="360" w:lineRule="auto"/>
        <w:rPr>
          <w:rFonts w:ascii="Arial" w:hAnsi="Arial" w:cs="Arial"/>
          <w:sz w:val="24"/>
          <w:szCs w:val="24"/>
        </w:rPr>
      </w:pPr>
      <w:r w:rsidRPr="00D125EC">
        <w:rPr>
          <w:rFonts w:ascii="Arial" w:hAnsi="Arial" w:cs="Arial"/>
          <w:sz w:val="24"/>
          <w:szCs w:val="24"/>
        </w:rPr>
        <w:t>Planning Appeals Commission - Independent Commission funded and supported by the Northern Ireland Courts &amp; Tribunals Service</w:t>
      </w:r>
    </w:p>
    <w:p w14:paraId="6D665BAC" w14:textId="5BB60E21" w:rsidR="000607EE" w:rsidRPr="00D125EC" w:rsidRDefault="000607EE" w:rsidP="00D125EC">
      <w:pPr>
        <w:pStyle w:val="ListParagraph"/>
        <w:numPr>
          <w:ilvl w:val="0"/>
          <w:numId w:val="33"/>
        </w:numPr>
        <w:spacing w:line="360" w:lineRule="auto"/>
        <w:rPr>
          <w:rFonts w:ascii="Arial" w:hAnsi="Arial" w:cs="Arial"/>
          <w:sz w:val="24"/>
          <w:szCs w:val="24"/>
        </w:rPr>
      </w:pPr>
      <w:r w:rsidRPr="00D125EC">
        <w:rPr>
          <w:rFonts w:ascii="Arial" w:hAnsi="Arial" w:cs="Arial"/>
          <w:sz w:val="24"/>
          <w:szCs w:val="24"/>
        </w:rPr>
        <w:t>Decides on planning appeals</w:t>
      </w:r>
    </w:p>
    <w:p w14:paraId="6AC87E5D" w14:textId="253F0B7C" w:rsidR="000607EE" w:rsidRPr="00D125EC" w:rsidRDefault="000607EE" w:rsidP="00D125EC">
      <w:pPr>
        <w:pStyle w:val="ListParagraph"/>
        <w:numPr>
          <w:ilvl w:val="0"/>
          <w:numId w:val="33"/>
        </w:numPr>
        <w:spacing w:line="360" w:lineRule="auto"/>
        <w:rPr>
          <w:rFonts w:ascii="Arial" w:hAnsi="Arial" w:cs="Arial"/>
          <w:sz w:val="24"/>
          <w:szCs w:val="24"/>
        </w:rPr>
      </w:pPr>
      <w:r w:rsidRPr="00D125EC">
        <w:rPr>
          <w:rFonts w:ascii="Arial" w:hAnsi="Arial" w:cs="Arial"/>
          <w:sz w:val="24"/>
          <w:szCs w:val="24"/>
        </w:rPr>
        <w:t>Hosts and reports on public inquiries/ hearings/ examinations</w:t>
      </w:r>
    </w:p>
    <w:p w14:paraId="79307D4B" w14:textId="7844B0DC" w:rsidR="00693288" w:rsidRPr="00D125EC" w:rsidRDefault="00F23E5B" w:rsidP="00A865F3">
      <w:pPr>
        <w:pStyle w:val="Heading2"/>
        <w:rPr>
          <w:rFonts w:ascii="Arial" w:hAnsi="Arial" w:cs="Arial"/>
        </w:rPr>
      </w:pPr>
      <w:bookmarkStart w:id="66" w:name="_Toc198879257"/>
      <w:r>
        <w:rPr>
          <w:rFonts w:ascii="Arial" w:hAnsi="Arial" w:cs="Arial"/>
        </w:rPr>
        <w:t xml:space="preserve">11.8 </w:t>
      </w:r>
      <w:r w:rsidR="00693288" w:rsidRPr="00D125EC">
        <w:rPr>
          <w:rFonts w:ascii="Arial" w:hAnsi="Arial" w:cs="Arial"/>
        </w:rPr>
        <w:t>England – regional level</w:t>
      </w:r>
      <w:bookmarkEnd w:id="66"/>
      <w:r w:rsidR="00693288" w:rsidRPr="00D125EC">
        <w:rPr>
          <w:rFonts w:ascii="Arial" w:hAnsi="Arial" w:cs="Arial"/>
        </w:rPr>
        <w:t xml:space="preserve"> </w:t>
      </w:r>
    </w:p>
    <w:p w14:paraId="54438EEC"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Combined Authorities and strategic planning bodies</w:t>
      </w:r>
    </w:p>
    <w:p w14:paraId="4CFE5E11" w14:textId="51159E51" w:rsidR="00693288" w:rsidRPr="00D125EC" w:rsidRDefault="00C44EE8" w:rsidP="00D125EC">
      <w:pPr>
        <w:spacing w:line="360" w:lineRule="auto"/>
        <w:rPr>
          <w:rFonts w:ascii="Arial" w:hAnsi="Arial" w:cs="Arial"/>
          <w:sz w:val="24"/>
          <w:szCs w:val="24"/>
        </w:rPr>
      </w:pPr>
      <w:r w:rsidRPr="00D125EC">
        <w:rPr>
          <w:rFonts w:ascii="Arial" w:hAnsi="Arial" w:cs="Arial"/>
          <w:sz w:val="24"/>
          <w:szCs w:val="24"/>
        </w:rPr>
        <w:t>The Planning and Infrastructure Bill 2025 contains measures</w:t>
      </w:r>
      <w:r w:rsidR="00693288" w:rsidRPr="00D125EC">
        <w:rPr>
          <w:rFonts w:ascii="Arial" w:hAnsi="Arial" w:cs="Arial"/>
          <w:sz w:val="24"/>
          <w:szCs w:val="24"/>
        </w:rPr>
        <w:t xml:space="preserve"> to widen and strengthen strategic planning to cover the whole of England. According to the English Devolution White Paper published at the end of 2024, devolution will become the ‘default setting’ and new strategic planning bodies will be set up in areas where a devolution deal is not yet in place</w:t>
      </w:r>
      <w:r w:rsidR="009734C1" w:rsidRPr="00D125EC">
        <w:rPr>
          <w:rFonts w:ascii="Arial" w:hAnsi="Arial" w:cs="Arial"/>
          <w:sz w:val="24"/>
          <w:szCs w:val="24"/>
        </w:rPr>
        <w:t xml:space="preserve"> </w:t>
      </w:r>
      <w:hyperlink r:id="rId44" w:history="1">
        <w:r w:rsidR="009734C1" w:rsidRPr="00D125EC">
          <w:rPr>
            <w:rStyle w:val="Hyperlink"/>
            <w:rFonts w:ascii="Arial" w:hAnsi="Arial" w:cs="Arial"/>
            <w:sz w:val="24"/>
            <w:szCs w:val="24"/>
          </w:rPr>
          <w:t>(MHCLG, 2025)</w:t>
        </w:r>
      </w:hyperlink>
      <w:r w:rsidR="00693288" w:rsidRPr="00D125EC">
        <w:rPr>
          <w:rFonts w:ascii="Arial" w:hAnsi="Arial" w:cs="Arial"/>
          <w:sz w:val="24"/>
          <w:szCs w:val="24"/>
        </w:rPr>
        <w:t>. The government’s proposal will see strategic authorities:</w:t>
      </w:r>
    </w:p>
    <w:p w14:paraId="556B9DEC" w14:textId="4C2341D5" w:rsidR="00693288" w:rsidRPr="00D125EC" w:rsidRDefault="00693288" w:rsidP="00D125EC">
      <w:pPr>
        <w:pStyle w:val="ListParagraph"/>
        <w:numPr>
          <w:ilvl w:val="0"/>
          <w:numId w:val="7"/>
        </w:numPr>
        <w:spacing w:after="200" w:line="360" w:lineRule="auto"/>
        <w:rPr>
          <w:rFonts w:ascii="Arial" w:hAnsi="Arial" w:cs="Arial"/>
          <w:sz w:val="24"/>
          <w:szCs w:val="24"/>
        </w:rPr>
      </w:pPr>
      <w:r w:rsidRPr="00D125EC">
        <w:rPr>
          <w:rFonts w:ascii="Arial" w:hAnsi="Arial" w:cs="Arial"/>
          <w:sz w:val="24"/>
          <w:szCs w:val="24"/>
        </w:rPr>
        <w:t>Having a strategic role in the delivery of the Great British Energy Local Power Plans, which enable local sustainable energy generation;</w:t>
      </w:r>
      <w:r w:rsidR="001E47CC" w:rsidRPr="00D125EC">
        <w:rPr>
          <w:rFonts w:ascii="Arial" w:hAnsi="Arial" w:cs="Arial"/>
          <w:sz w:val="24"/>
          <w:szCs w:val="24"/>
        </w:rPr>
        <w:t xml:space="preserve"> and</w:t>
      </w:r>
    </w:p>
    <w:p w14:paraId="1C964838" w14:textId="6378C35B" w:rsidR="00693288" w:rsidRPr="00D125EC" w:rsidRDefault="00693288" w:rsidP="00D125EC">
      <w:pPr>
        <w:pStyle w:val="ListParagraph"/>
        <w:numPr>
          <w:ilvl w:val="0"/>
          <w:numId w:val="7"/>
        </w:numPr>
        <w:spacing w:after="200" w:line="360" w:lineRule="auto"/>
        <w:rPr>
          <w:rFonts w:ascii="Arial" w:hAnsi="Arial" w:cs="Arial"/>
          <w:sz w:val="24"/>
          <w:szCs w:val="24"/>
        </w:rPr>
      </w:pPr>
      <w:r w:rsidRPr="00D125EC">
        <w:rPr>
          <w:rFonts w:ascii="Arial" w:hAnsi="Arial" w:cs="Arial"/>
          <w:sz w:val="24"/>
          <w:szCs w:val="24"/>
        </w:rPr>
        <w:lastRenderedPageBreak/>
        <w:t>Becoming the zoning coordinator for local heat networks and with their plans taken into account in the Regional Energy Strategic Plans (see the ‘Spatial plans and other policy documents’ section)</w:t>
      </w:r>
      <w:r w:rsidR="001E47CC" w:rsidRPr="00D125EC">
        <w:rPr>
          <w:rFonts w:ascii="Arial" w:hAnsi="Arial" w:cs="Arial"/>
          <w:sz w:val="24"/>
          <w:szCs w:val="24"/>
        </w:rPr>
        <w:t>.</w:t>
      </w:r>
    </w:p>
    <w:p w14:paraId="3234F824" w14:textId="7E53FB2F" w:rsidR="00693288" w:rsidRPr="00D125EC" w:rsidRDefault="00F23E5B" w:rsidP="00A865F3">
      <w:pPr>
        <w:pStyle w:val="Heading2"/>
        <w:rPr>
          <w:rFonts w:ascii="Arial" w:hAnsi="Arial" w:cs="Arial"/>
        </w:rPr>
      </w:pPr>
      <w:bookmarkStart w:id="67" w:name="_Toc198879258"/>
      <w:r>
        <w:rPr>
          <w:rFonts w:ascii="Arial" w:hAnsi="Arial" w:cs="Arial"/>
        </w:rPr>
        <w:t xml:space="preserve">11.9 </w:t>
      </w:r>
      <w:r w:rsidR="00693288" w:rsidRPr="00D125EC">
        <w:rPr>
          <w:rFonts w:ascii="Arial" w:hAnsi="Arial" w:cs="Arial"/>
        </w:rPr>
        <w:t>Scotland – regional level</w:t>
      </w:r>
      <w:bookmarkEnd w:id="67"/>
    </w:p>
    <w:p w14:paraId="35204B28"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Local planning authorities – a single one or two or more combined</w:t>
      </w:r>
    </w:p>
    <w:p w14:paraId="32EFFB59"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Under the Planning (Scotland) Act 2019, a planning authority or two or more authorities acting jointly are required to prepare and adopt a Regional Spatial Strategy (RSS). </w:t>
      </w:r>
    </w:p>
    <w:p w14:paraId="459A565B" w14:textId="3FC1A2BB" w:rsidR="00693288" w:rsidRPr="00D125EC" w:rsidRDefault="00F23E5B" w:rsidP="00A865F3">
      <w:pPr>
        <w:pStyle w:val="Heading2"/>
        <w:rPr>
          <w:rFonts w:ascii="Arial" w:hAnsi="Arial" w:cs="Arial"/>
        </w:rPr>
      </w:pPr>
      <w:bookmarkStart w:id="68" w:name="_Toc198879259"/>
      <w:r>
        <w:rPr>
          <w:rFonts w:ascii="Arial" w:hAnsi="Arial" w:cs="Arial"/>
        </w:rPr>
        <w:t xml:space="preserve">11.10 </w:t>
      </w:r>
      <w:r w:rsidR="00693288" w:rsidRPr="00D125EC">
        <w:rPr>
          <w:rFonts w:ascii="Arial" w:hAnsi="Arial" w:cs="Arial"/>
        </w:rPr>
        <w:t>Wales – regional level</w:t>
      </w:r>
      <w:bookmarkEnd w:id="68"/>
      <w:r w:rsidR="00693288" w:rsidRPr="00D125EC">
        <w:rPr>
          <w:rFonts w:ascii="Arial" w:hAnsi="Arial" w:cs="Arial"/>
        </w:rPr>
        <w:t xml:space="preserve"> </w:t>
      </w:r>
    </w:p>
    <w:p w14:paraId="4CEFBC9F" w14:textId="77777777" w:rsidR="00693288" w:rsidRPr="00D125EC" w:rsidRDefault="00693288" w:rsidP="00D125EC">
      <w:pPr>
        <w:pStyle w:val="Heading3"/>
        <w:spacing w:line="360" w:lineRule="auto"/>
        <w:rPr>
          <w:rFonts w:ascii="Arial" w:hAnsi="Arial" w:cs="Arial"/>
          <w:sz w:val="24"/>
          <w:szCs w:val="24"/>
        </w:rPr>
      </w:pPr>
      <w:r w:rsidRPr="00D125EC">
        <w:rPr>
          <w:rFonts w:ascii="Arial" w:hAnsi="Arial" w:cs="Arial"/>
          <w:sz w:val="24"/>
          <w:szCs w:val="24"/>
        </w:rPr>
        <w:t>Corporate Joint Committees (CJCs)</w:t>
      </w:r>
    </w:p>
    <w:p w14:paraId="2423F841" w14:textId="77777777" w:rsidR="00693288" w:rsidRPr="00D125EC" w:rsidRDefault="00693288" w:rsidP="00D125EC">
      <w:pPr>
        <w:spacing w:line="360" w:lineRule="auto"/>
        <w:rPr>
          <w:rFonts w:ascii="Arial" w:hAnsi="Arial" w:cs="Arial"/>
          <w:sz w:val="24"/>
          <w:szCs w:val="24"/>
        </w:rPr>
      </w:pPr>
      <w:r w:rsidRPr="00D125EC">
        <w:rPr>
          <w:rFonts w:ascii="Arial" w:hAnsi="Arial" w:cs="Arial"/>
          <w:sz w:val="24"/>
          <w:szCs w:val="24"/>
        </w:rPr>
        <w:t xml:space="preserve">Corporate Joint Committees (CJCs) were introduced by the Local Government and Elections (Wales) Act 2021. There are currently four CJCs: North Wales, Mid Wales, South East Wales and South West Wales. CJCs are obliged by law to prepare Strategic Development Plans, which deal with cross-boundary issues such as housing and transport. They also provide a strategic approach to planning at a larger-than-local scale. </w:t>
      </w:r>
    </w:p>
    <w:p w14:paraId="20A20308" w14:textId="77777777" w:rsidR="00871BF8" w:rsidRDefault="00871BF8" w:rsidP="008209E1">
      <w:pPr>
        <w:rPr>
          <w:rFonts w:ascii="Arial" w:hAnsi="Arial" w:cs="Arial"/>
        </w:rPr>
      </w:pPr>
    </w:p>
    <w:p w14:paraId="15033EBA" w14:textId="77777777" w:rsidR="00A73C87" w:rsidRPr="00D125EC" w:rsidRDefault="00A73C87" w:rsidP="00D125EC">
      <w:pPr>
        <w:pStyle w:val="Heading1"/>
        <w:rPr>
          <w:rFonts w:ascii="Arial" w:hAnsi="Arial" w:cs="Arial"/>
        </w:rPr>
      </w:pPr>
      <w:bookmarkStart w:id="69" w:name="_Toc198879260"/>
      <w:r w:rsidRPr="00D125EC">
        <w:rPr>
          <w:rFonts w:ascii="Arial" w:hAnsi="Arial" w:cs="Arial"/>
        </w:rPr>
        <w:t>RTPI - Royal Town Planning Institute</w:t>
      </w:r>
      <w:bookmarkEnd w:id="69"/>
    </w:p>
    <w:p w14:paraId="388A0FC1" w14:textId="77777777" w:rsidR="00A73C87" w:rsidRPr="00D125EC" w:rsidRDefault="00A73C87" w:rsidP="00D125EC">
      <w:pPr>
        <w:spacing w:line="360" w:lineRule="auto"/>
        <w:rPr>
          <w:rFonts w:ascii="Arial" w:hAnsi="Arial" w:cs="Arial"/>
          <w:sz w:val="24"/>
          <w:szCs w:val="24"/>
        </w:rPr>
      </w:pPr>
      <w:r w:rsidRPr="00D125EC">
        <w:rPr>
          <w:rFonts w:ascii="Arial" w:hAnsi="Arial" w:cs="Arial"/>
          <w:sz w:val="24"/>
          <w:szCs w:val="24"/>
        </w:rPr>
        <w:t xml:space="preserve">research@rtpi.org.uk </w:t>
      </w:r>
    </w:p>
    <w:p w14:paraId="238B4312" w14:textId="77777777" w:rsidR="00A73C87" w:rsidRPr="00D125EC" w:rsidRDefault="00A73C87" w:rsidP="00D125EC">
      <w:pPr>
        <w:spacing w:line="360" w:lineRule="auto"/>
        <w:rPr>
          <w:rFonts w:ascii="Arial" w:hAnsi="Arial" w:cs="Arial"/>
          <w:sz w:val="24"/>
          <w:szCs w:val="24"/>
        </w:rPr>
      </w:pPr>
      <w:r w:rsidRPr="00D125EC">
        <w:rPr>
          <w:rFonts w:ascii="Arial" w:hAnsi="Arial" w:cs="Arial"/>
          <w:sz w:val="24"/>
          <w:szCs w:val="24"/>
        </w:rPr>
        <w:t>Royal Town Planning Institute.</w:t>
      </w:r>
    </w:p>
    <w:p w14:paraId="3098C8DB" w14:textId="77777777" w:rsidR="00A73C87" w:rsidRPr="00D125EC" w:rsidRDefault="00A73C87" w:rsidP="00D125EC">
      <w:pPr>
        <w:spacing w:line="360" w:lineRule="auto"/>
        <w:rPr>
          <w:rFonts w:ascii="Arial" w:hAnsi="Arial" w:cs="Arial"/>
          <w:sz w:val="24"/>
          <w:szCs w:val="24"/>
        </w:rPr>
      </w:pPr>
      <w:r w:rsidRPr="00D125EC">
        <w:rPr>
          <w:rFonts w:ascii="Arial" w:hAnsi="Arial" w:cs="Arial"/>
          <w:sz w:val="24"/>
          <w:szCs w:val="24"/>
        </w:rPr>
        <w:t>41 Botolph Lane, London EC3R 8DL.</w:t>
      </w:r>
    </w:p>
    <w:p w14:paraId="6C00791D" w14:textId="705E3FB0" w:rsidR="00063A36" w:rsidRPr="00D125EC" w:rsidRDefault="00A73C87" w:rsidP="00D125EC">
      <w:pPr>
        <w:spacing w:line="360" w:lineRule="auto"/>
        <w:rPr>
          <w:rFonts w:ascii="Arial" w:hAnsi="Arial" w:cs="Arial"/>
          <w:sz w:val="24"/>
          <w:szCs w:val="24"/>
        </w:rPr>
      </w:pPr>
      <w:r w:rsidRPr="00D125EC">
        <w:rPr>
          <w:rFonts w:ascii="Arial" w:hAnsi="Arial" w:cs="Arial"/>
          <w:sz w:val="24"/>
          <w:szCs w:val="24"/>
        </w:rPr>
        <w:t>Registered Charity in England (262865) &amp; Scotland (SC037841)</w:t>
      </w:r>
    </w:p>
    <w:sectPr w:rsidR="00063A36" w:rsidRPr="00D125EC" w:rsidSect="00A865F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EBB9" w14:textId="77777777" w:rsidR="00F55AE2" w:rsidRDefault="00F55AE2" w:rsidP="00693288">
      <w:pPr>
        <w:spacing w:after="0" w:line="240" w:lineRule="auto"/>
      </w:pPr>
      <w:r>
        <w:separator/>
      </w:r>
    </w:p>
  </w:endnote>
  <w:endnote w:type="continuationSeparator" w:id="0">
    <w:p w14:paraId="33173621" w14:textId="77777777" w:rsidR="00F55AE2" w:rsidRDefault="00F55AE2" w:rsidP="00693288">
      <w:pPr>
        <w:spacing w:after="0" w:line="240" w:lineRule="auto"/>
      </w:pPr>
      <w:r>
        <w:continuationSeparator/>
      </w:r>
    </w:p>
  </w:endnote>
  <w:endnote w:type="continuationNotice" w:id="1">
    <w:p w14:paraId="1D1F2FBC" w14:textId="77777777" w:rsidR="00F55AE2" w:rsidRDefault="00F55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74364"/>
      <w:docPartObj>
        <w:docPartGallery w:val="Page Numbers (Bottom of Page)"/>
        <w:docPartUnique/>
      </w:docPartObj>
    </w:sdtPr>
    <w:sdtContent>
      <w:sdt>
        <w:sdtPr>
          <w:id w:val="1728636285"/>
          <w:docPartObj>
            <w:docPartGallery w:val="Page Numbers (Top of Page)"/>
            <w:docPartUnique/>
          </w:docPartObj>
        </w:sdtPr>
        <w:sdtContent>
          <w:p w14:paraId="3FBC4F1D" w14:textId="4961319B" w:rsidR="003C1B27" w:rsidRDefault="003C1B27" w:rsidP="003C1B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85A2" w14:textId="77777777" w:rsidR="00F55AE2" w:rsidRDefault="00F55AE2" w:rsidP="00693288">
      <w:pPr>
        <w:spacing w:after="0" w:line="240" w:lineRule="auto"/>
      </w:pPr>
      <w:r>
        <w:separator/>
      </w:r>
    </w:p>
  </w:footnote>
  <w:footnote w:type="continuationSeparator" w:id="0">
    <w:p w14:paraId="5CB65150" w14:textId="77777777" w:rsidR="00F55AE2" w:rsidRDefault="00F55AE2" w:rsidP="00693288">
      <w:pPr>
        <w:spacing w:after="0" w:line="240" w:lineRule="auto"/>
      </w:pPr>
      <w:r>
        <w:continuationSeparator/>
      </w:r>
    </w:p>
  </w:footnote>
  <w:footnote w:type="continuationNotice" w:id="1">
    <w:p w14:paraId="7AB75AE0" w14:textId="77777777" w:rsidR="00F55AE2" w:rsidRDefault="00F55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835" w14:textId="1C49CB82" w:rsidR="003C1B27" w:rsidRDefault="003C1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F6"/>
    <w:multiLevelType w:val="hybridMultilevel"/>
    <w:tmpl w:val="795A0B04"/>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1"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70D75"/>
    <w:multiLevelType w:val="hybridMultilevel"/>
    <w:tmpl w:val="0C464F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08A43FA"/>
    <w:multiLevelType w:val="hybridMultilevel"/>
    <w:tmpl w:val="A34C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10A09"/>
    <w:multiLevelType w:val="hybridMultilevel"/>
    <w:tmpl w:val="7B54D774"/>
    <w:lvl w:ilvl="0" w:tplc="2BD86942">
      <w:start w:val="1"/>
      <w:numFmt w:val="bullet"/>
      <w:lvlText w:val="•"/>
      <w:lvlJc w:val="left"/>
      <w:pPr>
        <w:tabs>
          <w:tab w:val="num" w:pos="720"/>
        </w:tabs>
        <w:ind w:left="720" w:hanging="360"/>
      </w:pPr>
      <w:rPr>
        <w:rFonts w:ascii="Arial" w:hAnsi="Arial" w:hint="default"/>
      </w:rPr>
    </w:lvl>
    <w:lvl w:ilvl="1" w:tplc="9C561026" w:tentative="1">
      <w:start w:val="1"/>
      <w:numFmt w:val="bullet"/>
      <w:lvlText w:val="•"/>
      <w:lvlJc w:val="left"/>
      <w:pPr>
        <w:tabs>
          <w:tab w:val="num" w:pos="1440"/>
        </w:tabs>
        <w:ind w:left="1440" w:hanging="360"/>
      </w:pPr>
      <w:rPr>
        <w:rFonts w:ascii="Arial" w:hAnsi="Arial" w:hint="default"/>
      </w:rPr>
    </w:lvl>
    <w:lvl w:ilvl="2" w:tplc="F9082A28" w:tentative="1">
      <w:start w:val="1"/>
      <w:numFmt w:val="bullet"/>
      <w:lvlText w:val="•"/>
      <w:lvlJc w:val="left"/>
      <w:pPr>
        <w:tabs>
          <w:tab w:val="num" w:pos="2160"/>
        </w:tabs>
        <w:ind w:left="2160" w:hanging="360"/>
      </w:pPr>
      <w:rPr>
        <w:rFonts w:ascii="Arial" w:hAnsi="Arial" w:hint="default"/>
      </w:rPr>
    </w:lvl>
    <w:lvl w:ilvl="3" w:tplc="B9FA20F8" w:tentative="1">
      <w:start w:val="1"/>
      <w:numFmt w:val="bullet"/>
      <w:lvlText w:val="•"/>
      <w:lvlJc w:val="left"/>
      <w:pPr>
        <w:tabs>
          <w:tab w:val="num" w:pos="2880"/>
        </w:tabs>
        <w:ind w:left="2880" w:hanging="360"/>
      </w:pPr>
      <w:rPr>
        <w:rFonts w:ascii="Arial" w:hAnsi="Arial" w:hint="default"/>
      </w:rPr>
    </w:lvl>
    <w:lvl w:ilvl="4" w:tplc="2F5EA3DE" w:tentative="1">
      <w:start w:val="1"/>
      <w:numFmt w:val="bullet"/>
      <w:lvlText w:val="•"/>
      <w:lvlJc w:val="left"/>
      <w:pPr>
        <w:tabs>
          <w:tab w:val="num" w:pos="3600"/>
        </w:tabs>
        <w:ind w:left="3600" w:hanging="360"/>
      </w:pPr>
      <w:rPr>
        <w:rFonts w:ascii="Arial" w:hAnsi="Arial" w:hint="default"/>
      </w:rPr>
    </w:lvl>
    <w:lvl w:ilvl="5" w:tplc="EC02C5E0" w:tentative="1">
      <w:start w:val="1"/>
      <w:numFmt w:val="bullet"/>
      <w:lvlText w:val="•"/>
      <w:lvlJc w:val="left"/>
      <w:pPr>
        <w:tabs>
          <w:tab w:val="num" w:pos="4320"/>
        </w:tabs>
        <w:ind w:left="4320" w:hanging="360"/>
      </w:pPr>
      <w:rPr>
        <w:rFonts w:ascii="Arial" w:hAnsi="Arial" w:hint="default"/>
      </w:rPr>
    </w:lvl>
    <w:lvl w:ilvl="6" w:tplc="97FAE830" w:tentative="1">
      <w:start w:val="1"/>
      <w:numFmt w:val="bullet"/>
      <w:lvlText w:val="•"/>
      <w:lvlJc w:val="left"/>
      <w:pPr>
        <w:tabs>
          <w:tab w:val="num" w:pos="5040"/>
        </w:tabs>
        <w:ind w:left="5040" w:hanging="360"/>
      </w:pPr>
      <w:rPr>
        <w:rFonts w:ascii="Arial" w:hAnsi="Arial" w:hint="default"/>
      </w:rPr>
    </w:lvl>
    <w:lvl w:ilvl="7" w:tplc="00A87262" w:tentative="1">
      <w:start w:val="1"/>
      <w:numFmt w:val="bullet"/>
      <w:lvlText w:val="•"/>
      <w:lvlJc w:val="left"/>
      <w:pPr>
        <w:tabs>
          <w:tab w:val="num" w:pos="5760"/>
        </w:tabs>
        <w:ind w:left="5760" w:hanging="360"/>
      </w:pPr>
      <w:rPr>
        <w:rFonts w:ascii="Arial" w:hAnsi="Arial" w:hint="default"/>
      </w:rPr>
    </w:lvl>
    <w:lvl w:ilvl="8" w:tplc="76E00C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7134A7"/>
    <w:multiLevelType w:val="hybridMultilevel"/>
    <w:tmpl w:val="5B983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C54BB"/>
    <w:multiLevelType w:val="hybridMultilevel"/>
    <w:tmpl w:val="8ED2956C"/>
    <w:lvl w:ilvl="0" w:tplc="F6F80F2E">
      <w:start w:val="1"/>
      <w:numFmt w:val="bullet"/>
      <w:lvlText w:val="•"/>
      <w:lvlJc w:val="left"/>
      <w:pPr>
        <w:tabs>
          <w:tab w:val="num" w:pos="720"/>
        </w:tabs>
        <w:ind w:left="720" w:hanging="360"/>
      </w:pPr>
      <w:rPr>
        <w:rFonts w:ascii="Arial" w:hAnsi="Arial" w:hint="default"/>
      </w:rPr>
    </w:lvl>
    <w:lvl w:ilvl="1" w:tplc="C6B23D66" w:tentative="1">
      <w:start w:val="1"/>
      <w:numFmt w:val="bullet"/>
      <w:lvlText w:val="•"/>
      <w:lvlJc w:val="left"/>
      <w:pPr>
        <w:tabs>
          <w:tab w:val="num" w:pos="1440"/>
        </w:tabs>
        <w:ind w:left="1440" w:hanging="360"/>
      </w:pPr>
      <w:rPr>
        <w:rFonts w:ascii="Arial" w:hAnsi="Arial" w:hint="default"/>
      </w:rPr>
    </w:lvl>
    <w:lvl w:ilvl="2" w:tplc="CA748098" w:tentative="1">
      <w:start w:val="1"/>
      <w:numFmt w:val="bullet"/>
      <w:lvlText w:val="•"/>
      <w:lvlJc w:val="left"/>
      <w:pPr>
        <w:tabs>
          <w:tab w:val="num" w:pos="2160"/>
        </w:tabs>
        <w:ind w:left="2160" w:hanging="360"/>
      </w:pPr>
      <w:rPr>
        <w:rFonts w:ascii="Arial" w:hAnsi="Arial" w:hint="default"/>
      </w:rPr>
    </w:lvl>
    <w:lvl w:ilvl="3" w:tplc="EE2A7E36" w:tentative="1">
      <w:start w:val="1"/>
      <w:numFmt w:val="bullet"/>
      <w:lvlText w:val="•"/>
      <w:lvlJc w:val="left"/>
      <w:pPr>
        <w:tabs>
          <w:tab w:val="num" w:pos="2880"/>
        </w:tabs>
        <w:ind w:left="2880" w:hanging="360"/>
      </w:pPr>
      <w:rPr>
        <w:rFonts w:ascii="Arial" w:hAnsi="Arial" w:hint="default"/>
      </w:rPr>
    </w:lvl>
    <w:lvl w:ilvl="4" w:tplc="647EA69C" w:tentative="1">
      <w:start w:val="1"/>
      <w:numFmt w:val="bullet"/>
      <w:lvlText w:val="•"/>
      <w:lvlJc w:val="left"/>
      <w:pPr>
        <w:tabs>
          <w:tab w:val="num" w:pos="3600"/>
        </w:tabs>
        <w:ind w:left="3600" w:hanging="360"/>
      </w:pPr>
      <w:rPr>
        <w:rFonts w:ascii="Arial" w:hAnsi="Arial" w:hint="default"/>
      </w:rPr>
    </w:lvl>
    <w:lvl w:ilvl="5" w:tplc="1C788060" w:tentative="1">
      <w:start w:val="1"/>
      <w:numFmt w:val="bullet"/>
      <w:lvlText w:val="•"/>
      <w:lvlJc w:val="left"/>
      <w:pPr>
        <w:tabs>
          <w:tab w:val="num" w:pos="4320"/>
        </w:tabs>
        <w:ind w:left="4320" w:hanging="360"/>
      </w:pPr>
      <w:rPr>
        <w:rFonts w:ascii="Arial" w:hAnsi="Arial" w:hint="default"/>
      </w:rPr>
    </w:lvl>
    <w:lvl w:ilvl="6" w:tplc="89227500" w:tentative="1">
      <w:start w:val="1"/>
      <w:numFmt w:val="bullet"/>
      <w:lvlText w:val="•"/>
      <w:lvlJc w:val="left"/>
      <w:pPr>
        <w:tabs>
          <w:tab w:val="num" w:pos="5040"/>
        </w:tabs>
        <w:ind w:left="5040" w:hanging="360"/>
      </w:pPr>
      <w:rPr>
        <w:rFonts w:ascii="Arial" w:hAnsi="Arial" w:hint="default"/>
      </w:rPr>
    </w:lvl>
    <w:lvl w:ilvl="7" w:tplc="0618313E" w:tentative="1">
      <w:start w:val="1"/>
      <w:numFmt w:val="bullet"/>
      <w:lvlText w:val="•"/>
      <w:lvlJc w:val="left"/>
      <w:pPr>
        <w:tabs>
          <w:tab w:val="num" w:pos="5760"/>
        </w:tabs>
        <w:ind w:left="5760" w:hanging="360"/>
      </w:pPr>
      <w:rPr>
        <w:rFonts w:ascii="Arial" w:hAnsi="Arial" w:hint="default"/>
      </w:rPr>
    </w:lvl>
    <w:lvl w:ilvl="8" w:tplc="7F1860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4B6383"/>
    <w:multiLevelType w:val="hybridMultilevel"/>
    <w:tmpl w:val="CB2260D8"/>
    <w:lvl w:ilvl="0" w:tplc="B13AAEDC">
      <w:start w:val="1"/>
      <w:numFmt w:val="bullet"/>
      <w:lvlText w:val="•"/>
      <w:lvlJc w:val="left"/>
      <w:pPr>
        <w:tabs>
          <w:tab w:val="num" w:pos="720"/>
        </w:tabs>
        <w:ind w:left="720" w:hanging="360"/>
      </w:pPr>
      <w:rPr>
        <w:rFonts w:ascii="Arial" w:hAnsi="Arial" w:hint="default"/>
      </w:rPr>
    </w:lvl>
    <w:lvl w:ilvl="1" w:tplc="AED6DF9A" w:tentative="1">
      <w:start w:val="1"/>
      <w:numFmt w:val="bullet"/>
      <w:lvlText w:val="•"/>
      <w:lvlJc w:val="left"/>
      <w:pPr>
        <w:tabs>
          <w:tab w:val="num" w:pos="1440"/>
        </w:tabs>
        <w:ind w:left="1440" w:hanging="360"/>
      </w:pPr>
      <w:rPr>
        <w:rFonts w:ascii="Arial" w:hAnsi="Arial" w:hint="default"/>
      </w:rPr>
    </w:lvl>
    <w:lvl w:ilvl="2" w:tplc="D5CA3EDC" w:tentative="1">
      <w:start w:val="1"/>
      <w:numFmt w:val="bullet"/>
      <w:lvlText w:val="•"/>
      <w:lvlJc w:val="left"/>
      <w:pPr>
        <w:tabs>
          <w:tab w:val="num" w:pos="2160"/>
        </w:tabs>
        <w:ind w:left="2160" w:hanging="360"/>
      </w:pPr>
      <w:rPr>
        <w:rFonts w:ascii="Arial" w:hAnsi="Arial" w:hint="default"/>
      </w:rPr>
    </w:lvl>
    <w:lvl w:ilvl="3" w:tplc="DE867134" w:tentative="1">
      <w:start w:val="1"/>
      <w:numFmt w:val="bullet"/>
      <w:lvlText w:val="•"/>
      <w:lvlJc w:val="left"/>
      <w:pPr>
        <w:tabs>
          <w:tab w:val="num" w:pos="2880"/>
        </w:tabs>
        <w:ind w:left="2880" w:hanging="360"/>
      </w:pPr>
      <w:rPr>
        <w:rFonts w:ascii="Arial" w:hAnsi="Arial" w:hint="default"/>
      </w:rPr>
    </w:lvl>
    <w:lvl w:ilvl="4" w:tplc="38E8814A" w:tentative="1">
      <w:start w:val="1"/>
      <w:numFmt w:val="bullet"/>
      <w:lvlText w:val="•"/>
      <w:lvlJc w:val="left"/>
      <w:pPr>
        <w:tabs>
          <w:tab w:val="num" w:pos="3600"/>
        </w:tabs>
        <w:ind w:left="3600" w:hanging="360"/>
      </w:pPr>
      <w:rPr>
        <w:rFonts w:ascii="Arial" w:hAnsi="Arial" w:hint="default"/>
      </w:rPr>
    </w:lvl>
    <w:lvl w:ilvl="5" w:tplc="5D064266" w:tentative="1">
      <w:start w:val="1"/>
      <w:numFmt w:val="bullet"/>
      <w:lvlText w:val="•"/>
      <w:lvlJc w:val="left"/>
      <w:pPr>
        <w:tabs>
          <w:tab w:val="num" w:pos="4320"/>
        </w:tabs>
        <w:ind w:left="4320" w:hanging="360"/>
      </w:pPr>
      <w:rPr>
        <w:rFonts w:ascii="Arial" w:hAnsi="Arial" w:hint="default"/>
      </w:rPr>
    </w:lvl>
    <w:lvl w:ilvl="6" w:tplc="934A14C8" w:tentative="1">
      <w:start w:val="1"/>
      <w:numFmt w:val="bullet"/>
      <w:lvlText w:val="•"/>
      <w:lvlJc w:val="left"/>
      <w:pPr>
        <w:tabs>
          <w:tab w:val="num" w:pos="5040"/>
        </w:tabs>
        <w:ind w:left="5040" w:hanging="360"/>
      </w:pPr>
      <w:rPr>
        <w:rFonts w:ascii="Arial" w:hAnsi="Arial" w:hint="default"/>
      </w:rPr>
    </w:lvl>
    <w:lvl w:ilvl="7" w:tplc="97A87D7C" w:tentative="1">
      <w:start w:val="1"/>
      <w:numFmt w:val="bullet"/>
      <w:lvlText w:val="•"/>
      <w:lvlJc w:val="left"/>
      <w:pPr>
        <w:tabs>
          <w:tab w:val="num" w:pos="5760"/>
        </w:tabs>
        <w:ind w:left="5760" w:hanging="360"/>
      </w:pPr>
      <w:rPr>
        <w:rFonts w:ascii="Arial" w:hAnsi="Arial" w:hint="default"/>
      </w:rPr>
    </w:lvl>
    <w:lvl w:ilvl="8" w:tplc="5F4070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4B5B64"/>
    <w:multiLevelType w:val="hybridMultilevel"/>
    <w:tmpl w:val="CC28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0467E"/>
    <w:multiLevelType w:val="hybridMultilevel"/>
    <w:tmpl w:val="06AA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C3EB9"/>
    <w:multiLevelType w:val="hybridMultilevel"/>
    <w:tmpl w:val="01E4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02896"/>
    <w:multiLevelType w:val="hybridMultilevel"/>
    <w:tmpl w:val="807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B23F5"/>
    <w:multiLevelType w:val="hybridMultilevel"/>
    <w:tmpl w:val="51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E5E15"/>
    <w:multiLevelType w:val="hybridMultilevel"/>
    <w:tmpl w:val="153CEFCE"/>
    <w:lvl w:ilvl="0" w:tplc="32C89A10">
      <w:start w:val="1"/>
      <w:numFmt w:val="bullet"/>
      <w:lvlText w:val="•"/>
      <w:lvlJc w:val="left"/>
      <w:pPr>
        <w:tabs>
          <w:tab w:val="num" w:pos="720"/>
        </w:tabs>
        <w:ind w:left="720" w:hanging="360"/>
      </w:pPr>
      <w:rPr>
        <w:rFonts w:ascii="Arial" w:hAnsi="Arial" w:hint="default"/>
      </w:rPr>
    </w:lvl>
    <w:lvl w:ilvl="1" w:tplc="D95E868E" w:tentative="1">
      <w:start w:val="1"/>
      <w:numFmt w:val="bullet"/>
      <w:lvlText w:val="•"/>
      <w:lvlJc w:val="left"/>
      <w:pPr>
        <w:tabs>
          <w:tab w:val="num" w:pos="1440"/>
        </w:tabs>
        <w:ind w:left="1440" w:hanging="360"/>
      </w:pPr>
      <w:rPr>
        <w:rFonts w:ascii="Arial" w:hAnsi="Arial" w:hint="default"/>
      </w:rPr>
    </w:lvl>
    <w:lvl w:ilvl="2" w:tplc="8F1EFFD8" w:tentative="1">
      <w:start w:val="1"/>
      <w:numFmt w:val="bullet"/>
      <w:lvlText w:val="•"/>
      <w:lvlJc w:val="left"/>
      <w:pPr>
        <w:tabs>
          <w:tab w:val="num" w:pos="2160"/>
        </w:tabs>
        <w:ind w:left="2160" w:hanging="360"/>
      </w:pPr>
      <w:rPr>
        <w:rFonts w:ascii="Arial" w:hAnsi="Arial" w:hint="default"/>
      </w:rPr>
    </w:lvl>
    <w:lvl w:ilvl="3" w:tplc="8F5A12DE" w:tentative="1">
      <w:start w:val="1"/>
      <w:numFmt w:val="bullet"/>
      <w:lvlText w:val="•"/>
      <w:lvlJc w:val="left"/>
      <w:pPr>
        <w:tabs>
          <w:tab w:val="num" w:pos="2880"/>
        </w:tabs>
        <w:ind w:left="2880" w:hanging="360"/>
      </w:pPr>
      <w:rPr>
        <w:rFonts w:ascii="Arial" w:hAnsi="Arial" w:hint="default"/>
      </w:rPr>
    </w:lvl>
    <w:lvl w:ilvl="4" w:tplc="47F629AC" w:tentative="1">
      <w:start w:val="1"/>
      <w:numFmt w:val="bullet"/>
      <w:lvlText w:val="•"/>
      <w:lvlJc w:val="left"/>
      <w:pPr>
        <w:tabs>
          <w:tab w:val="num" w:pos="3600"/>
        </w:tabs>
        <w:ind w:left="3600" w:hanging="360"/>
      </w:pPr>
      <w:rPr>
        <w:rFonts w:ascii="Arial" w:hAnsi="Arial" w:hint="default"/>
      </w:rPr>
    </w:lvl>
    <w:lvl w:ilvl="5" w:tplc="F93C3AA6" w:tentative="1">
      <w:start w:val="1"/>
      <w:numFmt w:val="bullet"/>
      <w:lvlText w:val="•"/>
      <w:lvlJc w:val="left"/>
      <w:pPr>
        <w:tabs>
          <w:tab w:val="num" w:pos="4320"/>
        </w:tabs>
        <w:ind w:left="4320" w:hanging="360"/>
      </w:pPr>
      <w:rPr>
        <w:rFonts w:ascii="Arial" w:hAnsi="Arial" w:hint="default"/>
      </w:rPr>
    </w:lvl>
    <w:lvl w:ilvl="6" w:tplc="5812FD32" w:tentative="1">
      <w:start w:val="1"/>
      <w:numFmt w:val="bullet"/>
      <w:lvlText w:val="•"/>
      <w:lvlJc w:val="left"/>
      <w:pPr>
        <w:tabs>
          <w:tab w:val="num" w:pos="5040"/>
        </w:tabs>
        <w:ind w:left="5040" w:hanging="360"/>
      </w:pPr>
      <w:rPr>
        <w:rFonts w:ascii="Arial" w:hAnsi="Arial" w:hint="default"/>
      </w:rPr>
    </w:lvl>
    <w:lvl w:ilvl="7" w:tplc="F740E474" w:tentative="1">
      <w:start w:val="1"/>
      <w:numFmt w:val="bullet"/>
      <w:lvlText w:val="•"/>
      <w:lvlJc w:val="left"/>
      <w:pPr>
        <w:tabs>
          <w:tab w:val="num" w:pos="5760"/>
        </w:tabs>
        <w:ind w:left="5760" w:hanging="360"/>
      </w:pPr>
      <w:rPr>
        <w:rFonts w:ascii="Arial" w:hAnsi="Arial" w:hint="default"/>
      </w:rPr>
    </w:lvl>
    <w:lvl w:ilvl="8" w:tplc="F49231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DA5C99"/>
    <w:multiLevelType w:val="hybridMultilevel"/>
    <w:tmpl w:val="36B63C44"/>
    <w:lvl w:ilvl="0" w:tplc="7A2C75FC">
      <w:start w:val="1"/>
      <w:numFmt w:val="bullet"/>
      <w:lvlText w:val="•"/>
      <w:lvlJc w:val="left"/>
      <w:pPr>
        <w:tabs>
          <w:tab w:val="num" w:pos="720"/>
        </w:tabs>
        <w:ind w:left="720" w:hanging="360"/>
      </w:pPr>
      <w:rPr>
        <w:rFonts w:ascii="Arial" w:hAnsi="Arial" w:hint="default"/>
      </w:rPr>
    </w:lvl>
    <w:lvl w:ilvl="1" w:tplc="E14E288A" w:tentative="1">
      <w:start w:val="1"/>
      <w:numFmt w:val="bullet"/>
      <w:lvlText w:val="•"/>
      <w:lvlJc w:val="left"/>
      <w:pPr>
        <w:tabs>
          <w:tab w:val="num" w:pos="1440"/>
        </w:tabs>
        <w:ind w:left="1440" w:hanging="360"/>
      </w:pPr>
      <w:rPr>
        <w:rFonts w:ascii="Arial" w:hAnsi="Arial" w:hint="default"/>
      </w:rPr>
    </w:lvl>
    <w:lvl w:ilvl="2" w:tplc="8C168D3A" w:tentative="1">
      <w:start w:val="1"/>
      <w:numFmt w:val="bullet"/>
      <w:lvlText w:val="•"/>
      <w:lvlJc w:val="left"/>
      <w:pPr>
        <w:tabs>
          <w:tab w:val="num" w:pos="2160"/>
        </w:tabs>
        <w:ind w:left="2160" w:hanging="360"/>
      </w:pPr>
      <w:rPr>
        <w:rFonts w:ascii="Arial" w:hAnsi="Arial" w:hint="default"/>
      </w:rPr>
    </w:lvl>
    <w:lvl w:ilvl="3" w:tplc="538A63A6" w:tentative="1">
      <w:start w:val="1"/>
      <w:numFmt w:val="bullet"/>
      <w:lvlText w:val="•"/>
      <w:lvlJc w:val="left"/>
      <w:pPr>
        <w:tabs>
          <w:tab w:val="num" w:pos="2880"/>
        </w:tabs>
        <w:ind w:left="2880" w:hanging="360"/>
      </w:pPr>
      <w:rPr>
        <w:rFonts w:ascii="Arial" w:hAnsi="Arial" w:hint="default"/>
      </w:rPr>
    </w:lvl>
    <w:lvl w:ilvl="4" w:tplc="56A467AE" w:tentative="1">
      <w:start w:val="1"/>
      <w:numFmt w:val="bullet"/>
      <w:lvlText w:val="•"/>
      <w:lvlJc w:val="left"/>
      <w:pPr>
        <w:tabs>
          <w:tab w:val="num" w:pos="3600"/>
        </w:tabs>
        <w:ind w:left="3600" w:hanging="360"/>
      </w:pPr>
      <w:rPr>
        <w:rFonts w:ascii="Arial" w:hAnsi="Arial" w:hint="default"/>
      </w:rPr>
    </w:lvl>
    <w:lvl w:ilvl="5" w:tplc="D89C531E" w:tentative="1">
      <w:start w:val="1"/>
      <w:numFmt w:val="bullet"/>
      <w:lvlText w:val="•"/>
      <w:lvlJc w:val="left"/>
      <w:pPr>
        <w:tabs>
          <w:tab w:val="num" w:pos="4320"/>
        </w:tabs>
        <w:ind w:left="4320" w:hanging="360"/>
      </w:pPr>
      <w:rPr>
        <w:rFonts w:ascii="Arial" w:hAnsi="Arial" w:hint="default"/>
      </w:rPr>
    </w:lvl>
    <w:lvl w:ilvl="6" w:tplc="F6EECE66" w:tentative="1">
      <w:start w:val="1"/>
      <w:numFmt w:val="bullet"/>
      <w:lvlText w:val="•"/>
      <w:lvlJc w:val="left"/>
      <w:pPr>
        <w:tabs>
          <w:tab w:val="num" w:pos="5040"/>
        </w:tabs>
        <w:ind w:left="5040" w:hanging="360"/>
      </w:pPr>
      <w:rPr>
        <w:rFonts w:ascii="Arial" w:hAnsi="Arial" w:hint="default"/>
      </w:rPr>
    </w:lvl>
    <w:lvl w:ilvl="7" w:tplc="97FE8F78" w:tentative="1">
      <w:start w:val="1"/>
      <w:numFmt w:val="bullet"/>
      <w:lvlText w:val="•"/>
      <w:lvlJc w:val="left"/>
      <w:pPr>
        <w:tabs>
          <w:tab w:val="num" w:pos="5760"/>
        </w:tabs>
        <w:ind w:left="5760" w:hanging="360"/>
      </w:pPr>
      <w:rPr>
        <w:rFonts w:ascii="Arial" w:hAnsi="Arial" w:hint="default"/>
      </w:rPr>
    </w:lvl>
    <w:lvl w:ilvl="8" w:tplc="5DF27A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CF56AD"/>
    <w:multiLevelType w:val="hybridMultilevel"/>
    <w:tmpl w:val="C3982906"/>
    <w:lvl w:ilvl="0" w:tplc="29783A90">
      <w:start w:val="1"/>
      <w:numFmt w:val="bullet"/>
      <w:lvlText w:val="•"/>
      <w:lvlJc w:val="left"/>
      <w:pPr>
        <w:tabs>
          <w:tab w:val="num" w:pos="720"/>
        </w:tabs>
        <w:ind w:left="720" w:hanging="360"/>
      </w:pPr>
      <w:rPr>
        <w:rFonts w:ascii="Arial" w:hAnsi="Arial" w:hint="default"/>
      </w:rPr>
    </w:lvl>
    <w:lvl w:ilvl="1" w:tplc="224E79AC" w:tentative="1">
      <w:start w:val="1"/>
      <w:numFmt w:val="bullet"/>
      <w:lvlText w:val="•"/>
      <w:lvlJc w:val="left"/>
      <w:pPr>
        <w:tabs>
          <w:tab w:val="num" w:pos="1440"/>
        </w:tabs>
        <w:ind w:left="1440" w:hanging="360"/>
      </w:pPr>
      <w:rPr>
        <w:rFonts w:ascii="Arial" w:hAnsi="Arial" w:hint="default"/>
      </w:rPr>
    </w:lvl>
    <w:lvl w:ilvl="2" w:tplc="3A2C2064" w:tentative="1">
      <w:start w:val="1"/>
      <w:numFmt w:val="bullet"/>
      <w:lvlText w:val="•"/>
      <w:lvlJc w:val="left"/>
      <w:pPr>
        <w:tabs>
          <w:tab w:val="num" w:pos="2160"/>
        </w:tabs>
        <w:ind w:left="2160" w:hanging="360"/>
      </w:pPr>
      <w:rPr>
        <w:rFonts w:ascii="Arial" w:hAnsi="Arial" w:hint="default"/>
      </w:rPr>
    </w:lvl>
    <w:lvl w:ilvl="3" w:tplc="246C9440" w:tentative="1">
      <w:start w:val="1"/>
      <w:numFmt w:val="bullet"/>
      <w:lvlText w:val="•"/>
      <w:lvlJc w:val="left"/>
      <w:pPr>
        <w:tabs>
          <w:tab w:val="num" w:pos="2880"/>
        </w:tabs>
        <w:ind w:left="2880" w:hanging="360"/>
      </w:pPr>
      <w:rPr>
        <w:rFonts w:ascii="Arial" w:hAnsi="Arial" w:hint="default"/>
      </w:rPr>
    </w:lvl>
    <w:lvl w:ilvl="4" w:tplc="0924227A" w:tentative="1">
      <w:start w:val="1"/>
      <w:numFmt w:val="bullet"/>
      <w:lvlText w:val="•"/>
      <w:lvlJc w:val="left"/>
      <w:pPr>
        <w:tabs>
          <w:tab w:val="num" w:pos="3600"/>
        </w:tabs>
        <w:ind w:left="3600" w:hanging="360"/>
      </w:pPr>
      <w:rPr>
        <w:rFonts w:ascii="Arial" w:hAnsi="Arial" w:hint="default"/>
      </w:rPr>
    </w:lvl>
    <w:lvl w:ilvl="5" w:tplc="29C2661A" w:tentative="1">
      <w:start w:val="1"/>
      <w:numFmt w:val="bullet"/>
      <w:lvlText w:val="•"/>
      <w:lvlJc w:val="left"/>
      <w:pPr>
        <w:tabs>
          <w:tab w:val="num" w:pos="4320"/>
        </w:tabs>
        <w:ind w:left="4320" w:hanging="360"/>
      </w:pPr>
      <w:rPr>
        <w:rFonts w:ascii="Arial" w:hAnsi="Arial" w:hint="default"/>
      </w:rPr>
    </w:lvl>
    <w:lvl w:ilvl="6" w:tplc="9356D918" w:tentative="1">
      <w:start w:val="1"/>
      <w:numFmt w:val="bullet"/>
      <w:lvlText w:val="•"/>
      <w:lvlJc w:val="left"/>
      <w:pPr>
        <w:tabs>
          <w:tab w:val="num" w:pos="5040"/>
        </w:tabs>
        <w:ind w:left="5040" w:hanging="360"/>
      </w:pPr>
      <w:rPr>
        <w:rFonts w:ascii="Arial" w:hAnsi="Arial" w:hint="default"/>
      </w:rPr>
    </w:lvl>
    <w:lvl w:ilvl="7" w:tplc="F38032E4" w:tentative="1">
      <w:start w:val="1"/>
      <w:numFmt w:val="bullet"/>
      <w:lvlText w:val="•"/>
      <w:lvlJc w:val="left"/>
      <w:pPr>
        <w:tabs>
          <w:tab w:val="num" w:pos="5760"/>
        </w:tabs>
        <w:ind w:left="5760" w:hanging="360"/>
      </w:pPr>
      <w:rPr>
        <w:rFonts w:ascii="Arial" w:hAnsi="Arial" w:hint="default"/>
      </w:rPr>
    </w:lvl>
    <w:lvl w:ilvl="8" w:tplc="D908C7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267D8"/>
    <w:multiLevelType w:val="hybridMultilevel"/>
    <w:tmpl w:val="4E8E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E18CA"/>
    <w:multiLevelType w:val="hybridMultilevel"/>
    <w:tmpl w:val="B04E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E5FC6"/>
    <w:multiLevelType w:val="hybridMultilevel"/>
    <w:tmpl w:val="1394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00141"/>
    <w:multiLevelType w:val="hybridMultilevel"/>
    <w:tmpl w:val="54326052"/>
    <w:lvl w:ilvl="0" w:tplc="B5B8D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F1DF8"/>
    <w:multiLevelType w:val="hybridMultilevel"/>
    <w:tmpl w:val="F6745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E5661"/>
    <w:multiLevelType w:val="hybridMultilevel"/>
    <w:tmpl w:val="36A4A0FE"/>
    <w:lvl w:ilvl="0" w:tplc="08090001">
      <w:start w:val="1"/>
      <w:numFmt w:val="bullet"/>
      <w:lvlText w:val=""/>
      <w:lvlJc w:val="left"/>
      <w:pPr>
        <w:ind w:left="655" w:hanging="360"/>
      </w:pPr>
      <w:rPr>
        <w:rFonts w:ascii="Symbol" w:hAnsi="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22" w15:restartNumberingAfterBreak="0">
    <w:nsid w:val="544A6F9C"/>
    <w:multiLevelType w:val="hybridMultilevel"/>
    <w:tmpl w:val="8B7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4385B"/>
    <w:multiLevelType w:val="hybridMultilevel"/>
    <w:tmpl w:val="5B9C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E527C"/>
    <w:multiLevelType w:val="hybridMultilevel"/>
    <w:tmpl w:val="D54C72D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3496A"/>
    <w:multiLevelType w:val="hybridMultilevel"/>
    <w:tmpl w:val="5A389D48"/>
    <w:lvl w:ilvl="0" w:tplc="74D6D10C">
      <w:start w:val="1"/>
      <w:numFmt w:val="bullet"/>
      <w:lvlText w:val="•"/>
      <w:lvlJc w:val="left"/>
      <w:pPr>
        <w:tabs>
          <w:tab w:val="num" w:pos="720"/>
        </w:tabs>
        <w:ind w:left="720" w:hanging="360"/>
      </w:pPr>
      <w:rPr>
        <w:rFonts w:ascii="Arial" w:hAnsi="Arial" w:hint="default"/>
      </w:rPr>
    </w:lvl>
    <w:lvl w:ilvl="1" w:tplc="3C9CB5EE" w:tentative="1">
      <w:start w:val="1"/>
      <w:numFmt w:val="bullet"/>
      <w:lvlText w:val="•"/>
      <w:lvlJc w:val="left"/>
      <w:pPr>
        <w:tabs>
          <w:tab w:val="num" w:pos="1440"/>
        </w:tabs>
        <w:ind w:left="1440" w:hanging="360"/>
      </w:pPr>
      <w:rPr>
        <w:rFonts w:ascii="Arial" w:hAnsi="Arial" w:hint="default"/>
      </w:rPr>
    </w:lvl>
    <w:lvl w:ilvl="2" w:tplc="E7A2B7EA" w:tentative="1">
      <w:start w:val="1"/>
      <w:numFmt w:val="bullet"/>
      <w:lvlText w:val="•"/>
      <w:lvlJc w:val="left"/>
      <w:pPr>
        <w:tabs>
          <w:tab w:val="num" w:pos="2160"/>
        </w:tabs>
        <w:ind w:left="2160" w:hanging="360"/>
      </w:pPr>
      <w:rPr>
        <w:rFonts w:ascii="Arial" w:hAnsi="Arial" w:hint="default"/>
      </w:rPr>
    </w:lvl>
    <w:lvl w:ilvl="3" w:tplc="343083E8" w:tentative="1">
      <w:start w:val="1"/>
      <w:numFmt w:val="bullet"/>
      <w:lvlText w:val="•"/>
      <w:lvlJc w:val="left"/>
      <w:pPr>
        <w:tabs>
          <w:tab w:val="num" w:pos="2880"/>
        </w:tabs>
        <w:ind w:left="2880" w:hanging="360"/>
      </w:pPr>
      <w:rPr>
        <w:rFonts w:ascii="Arial" w:hAnsi="Arial" w:hint="default"/>
      </w:rPr>
    </w:lvl>
    <w:lvl w:ilvl="4" w:tplc="E6A00C04" w:tentative="1">
      <w:start w:val="1"/>
      <w:numFmt w:val="bullet"/>
      <w:lvlText w:val="•"/>
      <w:lvlJc w:val="left"/>
      <w:pPr>
        <w:tabs>
          <w:tab w:val="num" w:pos="3600"/>
        </w:tabs>
        <w:ind w:left="3600" w:hanging="360"/>
      </w:pPr>
      <w:rPr>
        <w:rFonts w:ascii="Arial" w:hAnsi="Arial" w:hint="default"/>
      </w:rPr>
    </w:lvl>
    <w:lvl w:ilvl="5" w:tplc="7A6AC8E4" w:tentative="1">
      <w:start w:val="1"/>
      <w:numFmt w:val="bullet"/>
      <w:lvlText w:val="•"/>
      <w:lvlJc w:val="left"/>
      <w:pPr>
        <w:tabs>
          <w:tab w:val="num" w:pos="4320"/>
        </w:tabs>
        <w:ind w:left="4320" w:hanging="360"/>
      </w:pPr>
      <w:rPr>
        <w:rFonts w:ascii="Arial" w:hAnsi="Arial" w:hint="default"/>
      </w:rPr>
    </w:lvl>
    <w:lvl w:ilvl="6" w:tplc="6C4ABE02" w:tentative="1">
      <w:start w:val="1"/>
      <w:numFmt w:val="bullet"/>
      <w:lvlText w:val="•"/>
      <w:lvlJc w:val="left"/>
      <w:pPr>
        <w:tabs>
          <w:tab w:val="num" w:pos="5040"/>
        </w:tabs>
        <w:ind w:left="5040" w:hanging="360"/>
      </w:pPr>
      <w:rPr>
        <w:rFonts w:ascii="Arial" w:hAnsi="Arial" w:hint="default"/>
      </w:rPr>
    </w:lvl>
    <w:lvl w:ilvl="7" w:tplc="D29893E4" w:tentative="1">
      <w:start w:val="1"/>
      <w:numFmt w:val="bullet"/>
      <w:lvlText w:val="•"/>
      <w:lvlJc w:val="left"/>
      <w:pPr>
        <w:tabs>
          <w:tab w:val="num" w:pos="5760"/>
        </w:tabs>
        <w:ind w:left="5760" w:hanging="360"/>
      </w:pPr>
      <w:rPr>
        <w:rFonts w:ascii="Arial" w:hAnsi="Arial" w:hint="default"/>
      </w:rPr>
    </w:lvl>
    <w:lvl w:ilvl="8" w:tplc="3E441A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CB7B0D"/>
    <w:multiLevelType w:val="hybridMultilevel"/>
    <w:tmpl w:val="D9E019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EF1462"/>
    <w:multiLevelType w:val="hybridMultilevel"/>
    <w:tmpl w:val="55BE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E5D04"/>
    <w:multiLevelType w:val="hybridMultilevel"/>
    <w:tmpl w:val="47A0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537F7"/>
    <w:multiLevelType w:val="hybridMultilevel"/>
    <w:tmpl w:val="DF80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D4F4E"/>
    <w:multiLevelType w:val="hybridMultilevel"/>
    <w:tmpl w:val="5590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C3718"/>
    <w:multiLevelType w:val="hybridMultilevel"/>
    <w:tmpl w:val="D446FDC0"/>
    <w:lvl w:ilvl="0" w:tplc="0472E6E2">
      <w:start w:val="1"/>
      <w:numFmt w:val="bullet"/>
      <w:lvlText w:val="•"/>
      <w:lvlJc w:val="left"/>
      <w:pPr>
        <w:tabs>
          <w:tab w:val="num" w:pos="720"/>
        </w:tabs>
        <w:ind w:left="720" w:hanging="360"/>
      </w:pPr>
      <w:rPr>
        <w:rFonts w:ascii="Arial" w:hAnsi="Arial" w:hint="default"/>
      </w:rPr>
    </w:lvl>
    <w:lvl w:ilvl="1" w:tplc="F8C09A24" w:tentative="1">
      <w:start w:val="1"/>
      <w:numFmt w:val="bullet"/>
      <w:lvlText w:val="•"/>
      <w:lvlJc w:val="left"/>
      <w:pPr>
        <w:tabs>
          <w:tab w:val="num" w:pos="1440"/>
        </w:tabs>
        <w:ind w:left="1440" w:hanging="360"/>
      </w:pPr>
      <w:rPr>
        <w:rFonts w:ascii="Arial" w:hAnsi="Arial" w:hint="default"/>
      </w:rPr>
    </w:lvl>
    <w:lvl w:ilvl="2" w:tplc="BBA4138C" w:tentative="1">
      <w:start w:val="1"/>
      <w:numFmt w:val="bullet"/>
      <w:lvlText w:val="•"/>
      <w:lvlJc w:val="left"/>
      <w:pPr>
        <w:tabs>
          <w:tab w:val="num" w:pos="2160"/>
        </w:tabs>
        <w:ind w:left="2160" w:hanging="360"/>
      </w:pPr>
      <w:rPr>
        <w:rFonts w:ascii="Arial" w:hAnsi="Arial" w:hint="default"/>
      </w:rPr>
    </w:lvl>
    <w:lvl w:ilvl="3" w:tplc="30DCE13C" w:tentative="1">
      <w:start w:val="1"/>
      <w:numFmt w:val="bullet"/>
      <w:lvlText w:val="•"/>
      <w:lvlJc w:val="left"/>
      <w:pPr>
        <w:tabs>
          <w:tab w:val="num" w:pos="2880"/>
        </w:tabs>
        <w:ind w:left="2880" w:hanging="360"/>
      </w:pPr>
      <w:rPr>
        <w:rFonts w:ascii="Arial" w:hAnsi="Arial" w:hint="default"/>
      </w:rPr>
    </w:lvl>
    <w:lvl w:ilvl="4" w:tplc="58C04D24" w:tentative="1">
      <w:start w:val="1"/>
      <w:numFmt w:val="bullet"/>
      <w:lvlText w:val="•"/>
      <w:lvlJc w:val="left"/>
      <w:pPr>
        <w:tabs>
          <w:tab w:val="num" w:pos="3600"/>
        </w:tabs>
        <w:ind w:left="3600" w:hanging="360"/>
      </w:pPr>
      <w:rPr>
        <w:rFonts w:ascii="Arial" w:hAnsi="Arial" w:hint="default"/>
      </w:rPr>
    </w:lvl>
    <w:lvl w:ilvl="5" w:tplc="C9C89426" w:tentative="1">
      <w:start w:val="1"/>
      <w:numFmt w:val="bullet"/>
      <w:lvlText w:val="•"/>
      <w:lvlJc w:val="left"/>
      <w:pPr>
        <w:tabs>
          <w:tab w:val="num" w:pos="4320"/>
        </w:tabs>
        <w:ind w:left="4320" w:hanging="360"/>
      </w:pPr>
      <w:rPr>
        <w:rFonts w:ascii="Arial" w:hAnsi="Arial" w:hint="default"/>
      </w:rPr>
    </w:lvl>
    <w:lvl w:ilvl="6" w:tplc="0D00F6A6" w:tentative="1">
      <w:start w:val="1"/>
      <w:numFmt w:val="bullet"/>
      <w:lvlText w:val="•"/>
      <w:lvlJc w:val="left"/>
      <w:pPr>
        <w:tabs>
          <w:tab w:val="num" w:pos="5040"/>
        </w:tabs>
        <w:ind w:left="5040" w:hanging="360"/>
      </w:pPr>
      <w:rPr>
        <w:rFonts w:ascii="Arial" w:hAnsi="Arial" w:hint="default"/>
      </w:rPr>
    </w:lvl>
    <w:lvl w:ilvl="7" w:tplc="DFAA308E" w:tentative="1">
      <w:start w:val="1"/>
      <w:numFmt w:val="bullet"/>
      <w:lvlText w:val="•"/>
      <w:lvlJc w:val="left"/>
      <w:pPr>
        <w:tabs>
          <w:tab w:val="num" w:pos="5760"/>
        </w:tabs>
        <w:ind w:left="5760" w:hanging="360"/>
      </w:pPr>
      <w:rPr>
        <w:rFonts w:ascii="Arial" w:hAnsi="Arial" w:hint="default"/>
      </w:rPr>
    </w:lvl>
    <w:lvl w:ilvl="8" w:tplc="382438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E97069"/>
    <w:multiLevelType w:val="hybridMultilevel"/>
    <w:tmpl w:val="954C0B82"/>
    <w:lvl w:ilvl="0" w:tplc="B4CEED6C">
      <w:start w:val="1"/>
      <w:numFmt w:val="bullet"/>
      <w:lvlText w:val="•"/>
      <w:lvlJc w:val="left"/>
      <w:pPr>
        <w:tabs>
          <w:tab w:val="num" w:pos="720"/>
        </w:tabs>
        <w:ind w:left="720" w:hanging="360"/>
      </w:pPr>
      <w:rPr>
        <w:rFonts w:ascii="Arial" w:hAnsi="Arial" w:hint="default"/>
      </w:rPr>
    </w:lvl>
    <w:lvl w:ilvl="1" w:tplc="0DF4BC7E" w:tentative="1">
      <w:start w:val="1"/>
      <w:numFmt w:val="bullet"/>
      <w:lvlText w:val="•"/>
      <w:lvlJc w:val="left"/>
      <w:pPr>
        <w:tabs>
          <w:tab w:val="num" w:pos="1440"/>
        </w:tabs>
        <w:ind w:left="1440" w:hanging="360"/>
      </w:pPr>
      <w:rPr>
        <w:rFonts w:ascii="Arial" w:hAnsi="Arial" w:hint="default"/>
      </w:rPr>
    </w:lvl>
    <w:lvl w:ilvl="2" w:tplc="A8E86000" w:tentative="1">
      <w:start w:val="1"/>
      <w:numFmt w:val="bullet"/>
      <w:lvlText w:val="•"/>
      <w:lvlJc w:val="left"/>
      <w:pPr>
        <w:tabs>
          <w:tab w:val="num" w:pos="2160"/>
        </w:tabs>
        <w:ind w:left="2160" w:hanging="360"/>
      </w:pPr>
      <w:rPr>
        <w:rFonts w:ascii="Arial" w:hAnsi="Arial" w:hint="default"/>
      </w:rPr>
    </w:lvl>
    <w:lvl w:ilvl="3" w:tplc="4EA804FC" w:tentative="1">
      <w:start w:val="1"/>
      <w:numFmt w:val="bullet"/>
      <w:lvlText w:val="•"/>
      <w:lvlJc w:val="left"/>
      <w:pPr>
        <w:tabs>
          <w:tab w:val="num" w:pos="2880"/>
        </w:tabs>
        <w:ind w:left="2880" w:hanging="360"/>
      </w:pPr>
      <w:rPr>
        <w:rFonts w:ascii="Arial" w:hAnsi="Arial" w:hint="default"/>
      </w:rPr>
    </w:lvl>
    <w:lvl w:ilvl="4" w:tplc="84C4F506" w:tentative="1">
      <w:start w:val="1"/>
      <w:numFmt w:val="bullet"/>
      <w:lvlText w:val="•"/>
      <w:lvlJc w:val="left"/>
      <w:pPr>
        <w:tabs>
          <w:tab w:val="num" w:pos="3600"/>
        </w:tabs>
        <w:ind w:left="3600" w:hanging="360"/>
      </w:pPr>
      <w:rPr>
        <w:rFonts w:ascii="Arial" w:hAnsi="Arial" w:hint="default"/>
      </w:rPr>
    </w:lvl>
    <w:lvl w:ilvl="5" w:tplc="979A5908" w:tentative="1">
      <w:start w:val="1"/>
      <w:numFmt w:val="bullet"/>
      <w:lvlText w:val="•"/>
      <w:lvlJc w:val="left"/>
      <w:pPr>
        <w:tabs>
          <w:tab w:val="num" w:pos="4320"/>
        </w:tabs>
        <w:ind w:left="4320" w:hanging="360"/>
      </w:pPr>
      <w:rPr>
        <w:rFonts w:ascii="Arial" w:hAnsi="Arial" w:hint="default"/>
      </w:rPr>
    </w:lvl>
    <w:lvl w:ilvl="6" w:tplc="E70C5A26" w:tentative="1">
      <w:start w:val="1"/>
      <w:numFmt w:val="bullet"/>
      <w:lvlText w:val="•"/>
      <w:lvlJc w:val="left"/>
      <w:pPr>
        <w:tabs>
          <w:tab w:val="num" w:pos="5040"/>
        </w:tabs>
        <w:ind w:left="5040" w:hanging="360"/>
      </w:pPr>
      <w:rPr>
        <w:rFonts w:ascii="Arial" w:hAnsi="Arial" w:hint="default"/>
      </w:rPr>
    </w:lvl>
    <w:lvl w:ilvl="7" w:tplc="CAF4AC24" w:tentative="1">
      <w:start w:val="1"/>
      <w:numFmt w:val="bullet"/>
      <w:lvlText w:val="•"/>
      <w:lvlJc w:val="left"/>
      <w:pPr>
        <w:tabs>
          <w:tab w:val="num" w:pos="5760"/>
        </w:tabs>
        <w:ind w:left="5760" w:hanging="360"/>
      </w:pPr>
      <w:rPr>
        <w:rFonts w:ascii="Arial" w:hAnsi="Arial" w:hint="default"/>
      </w:rPr>
    </w:lvl>
    <w:lvl w:ilvl="8" w:tplc="929009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8720DC"/>
    <w:multiLevelType w:val="hybridMultilevel"/>
    <w:tmpl w:val="9496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969D8"/>
    <w:multiLevelType w:val="hybridMultilevel"/>
    <w:tmpl w:val="42B8E4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B4F6BB2"/>
    <w:multiLevelType w:val="hybridMultilevel"/>
    <w:tmpl w:val="AD2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70066"/>
    <w:multiLevelType w:val="hybridMultilevel"/>
    <w:tmpl w:val="0DE8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007B0"/>
    <w:multiLevelType w:val="hybridMultilevel"/>
    <w:tmpl w:val="367A47D2"/>
    <w:lvl w:ilvl="0" w:tplc="B0C64BDA">
      <w:start w:val="1"/>
      <w:numFmt w:val="bullet"/>
      <w:lvlText w:val="•"/>
      <w:lvlJc w:val="left"/>
      <w:pPr>
        <w:tabs>
          <w:tab w:val="num" w:pos="720"/>
        </w:tabs>
        <w:ind w:left="720" w:hanging="360"/>
      </w:pPr>
      <w:rPr>
        <w:rFonts w:ascii="Arial" w:hAnsi="Arial" w:hint="default"/>
      </w:rPr>
    </w:lvl>
    <w:lvl w:ilvl="1" w:tplc="49D86E96" w:tentative="1">
      <w:start w:val="1"/>
      <w:numFmt w:val="bullet"/>
      <w:lvlText w:val="•"/>
      <w:lvlJc w:val="left"/>
      <w:pPr>
        <w:tabs>
          <w:tab w:val="num" w:pos="1440"/>
        </w:tabs>
        <w:ind w:left="1440" w:hanging="360"/>
      </w:pPr>
      <w:rPr>
        <w:rFonts w:ascii="Arial" w:hAnsi="Arial" w:hint="default"/>
      </w:rPr>
    </w:lvl>
    <w:lvl w:ilvl="2" w:tplc="E85A6C24" w:tentative="1">
      <w:start w:val="1"/>
      <w:numFmt w:val="bullet"/>
      <w:lvlText w:val="•"/>
      <w:lvlJc w:val="left"/>
      <w:pPr>
        <w:tabs>
          <w:tab w:val="num" w:pos="2160"/>
        </w:tabs>
        <w:ind w:left="2160" w:hanging="360"/>
      </w:pPr>
      <w:rPr>
        <w:rFonts w:ascii="Arial" w:hAnsi="Arial" w:hint="default"/>
      </w:rPr>
    </w:lvl>
    <w:lvl w:ilvl="3" w:tplc="2C60AE62" w:tentative="1">
      <w:start w:val="1"/>
      <w:numFmt w:val="bullet"/>
      <w:lvlText w:val="•"/>
      <w:lvlJc w:val="left"/>
      <w:pPr>
        <w:tabs>
          <w:tab w:val="num" w:pos="2880"/>
        </w:tabs>
        <w:ind w:left="2880" w:hanging="360"/>
      </w:pPr>
      <w:rPr>
        <w:rFonts w:ascii="Arial" w:hAnsi="Arial" w:hint="default"/>
      </w:rPr>
    </w:lvl>
    <w:lvl w:ilvl="4" w:tplc="938E3974" w:tentative="1">
      <w:start w:val="1"/>
      <w:numFmt w:val="bullet"/>
      <w:lvlText w:val="•"/>
      <w:lvlJc w:val="left"/>
      <w:pPr>
        <w:tabs>
          <w:tab w:val="num" w:pos="3600"/>
        </w:tabs>
        <w:ind w:left="3600" w:hanging="360"/>
      </w:pPr>
      <w:rPr>
        <w:rFonts w:ascii="Arial" w:hAnsi="Arial" w:hint="default"/>
      </w:rPr>
    </w:lvl>
    <w:lvl w:ilvl="5" w:tplc="70ACDDCE" w:tentative="1">
      <w:start w:val="1"/>
      <w:numFmt w:val="bullet"/>
      <w:lvlText w:val="•"/>
      <w:lvlJc w:val="left"/>
      <w:pPr>
        <w:tabs>
          <w:tab w:val="num" w:pos="4320"/>
        </w:tabs>
        <w:ind w:left="4320" w:hanging="360"/>
      </w:pPr>
      <w:rPr>
        <w:rFonts w:ascii="Arial" w:hAnsi="Arial" w:hint="default"/>
      </w:rPr>
    </w:lvl>
    <w:lvl w:ilvl="6" w:tplc="B39C13EC" w:tentative="1">
      <w:start w:val="1"/>
      <w:numFmt w:val="bullet"/>
      <w:lvlText w:val="•"/>
      <w:lvlJc w:val="left"/>
      <w:pPr>
        <w:tabs>
          <w:tab w:val="num" w:pos="5040"/>
        </w:tabs>
        <w:ind w:left="5040" w:hanging="360"/>
      </w:pPr>
      <w:rPr>
        <w:rFonts w:ascii="Arial" w:hAnsi="Arial" w:hint="default"/>
      </w:rPr>
    </w:lvl>
    <w:lvl w:ilvl="7" w:tplc="9CA4B8D0" w:tentative="1">
      <w:start w:val="1"/>
      <w:numFmt w:val="bullet"/>
      <w:lvlText w:val="•"/>
      <w:lvlJc w:val="left"/>
      <w:pPr>
        <w:tabs>
          <w:tab w:val="num" w:pos="5760"/>
        </w:tabs>
        <w:ind w:left="5760" w:hanging="360"/>
      </w:pPr>
      <w:rPr>
        <w:rFonts w:ascii="Arial" w:hAnsi="Arial" w:hint="default"/>
      </w:rPr>
    </w:lvl>
    <w:lvl w:ilvl="8" w:tplc="B416500C" w:tentative="1">
      <w:start w:val="1"/>
      <w:numFmt w:val="bullet"/>
      <w:lvlText w:val="•"/>
      <w:lvlJc w:val="left"/>
      <w:pPr>
        <w:tabs>
          <w:tab w:val="num" w:pos="6480"/>
        </w:tabs>
        <w:ind w:left="6480" w:hanging="360"/>
      </w:pPr>
      <w:rPr>
        <w:rFonts w:ascii="Arial" w:hAnsi="Arial" w:hint="default"/>
      </w:rPr>
    </w:lvl>
  </w:abstractNum>
  <w:num w:numId="1" w16cid:durableId="553590621">
    <w:abstractNumId w:val="1"/>
  </w:num>
  <w:num w:numId="2" w16cid:durableId="629555790">
    <w:abstractNumId w:val="19"/>
  </w:num>
  <w:num w:numId="3" w16cid:durableId="1162045948">
    <w:abstractNumId w:val="18"/>
  </w:num>
  <w:num w:numId="4" w16cid:durableId="2091077141">
    <w:abstractNumId w:val="20"/>
  </w:num>
  <w:num w:numId="5" w16cid:durableId="745610431">
    <w:abstractNumId w:val="35"/>
  </w:num>
  <w:num w:numId="6" w16cid:durableId="1057895772">
    <w:abstractNumId w:val="24"/>
  </w:num>
  <w:num w:numId="7" w16cid:durableId="721487163">
    <w:abstractNumId w:val="21"/>
  </w:num>
  <w:num w:numId="8" w16cid:durableId="1089889010">
    <w:abstractNumId w:val="8"/>
  </w:num>
  <w:num w:numId="9" w16cid:durableId="414522607">
    <w:abstractNumId w:val="25"/>
  </w:num>
  <w:num w:numId="10" w16cid:durableId="1608653073">
    <w:abstractNumId w:val="15"/>
  </w:num>
  <w:num w:numId="11" w16cid:durableId="481655665">
    <w:abstractNumId w:val="37"/>
  </w:num>
  <w:num w:numId="12" w16cid:durableId="312023968">
    <w:abstractNumId w:val="31"/>
  </w:num>
  <w:num w:numId="13" w16cid:durableId="2076661121">
    <w:abstractNumId w:val="14"/>
  </w:num>
  <w:num w:numId="14" w16cid:durableId="576983411">
    <w:abstractNumId w:val="6"/>
  </w:num>
  <w:num w:numId="15" w16cid:durableId="1163473797">
    <w:abstractNumId w:val="7"/>
  </w:num>
  <w:num w:numId="16" w16cid:durableId="1378357217">
    <w:abstractNumId w:val="4"/>
  </w:num>
  <w:num w:numId="17" w16cid:durableId="1687709389">
    <w:abstractNumId w:val="13"/>
  </w:num>
  <w:num w:numId="18" w16cid:durableId="1562978614">
    <w:abstractNumId w:val="32"/>
  </w:num>
  <w:num w:numId="19" w16cid:durableId="1959994947">
    <w:abstractNumId w:val="2"/>
  </w:num>
  <w:num w:numId="20" w16cid:durableId="159503">
    <w:abstractNumId w:val="27"/>
  </w:num>
  <w:num w:numId="21" w16cid:durableId="1226332601">
    <w:abstractNumId w:val="26"/>
  </w:num>
  <w:num w:numId="22" w16cid:durableId="270748060">
    <w:abstractNumId w:val="5"/>
  </w:num>
  <w:num w:numId="23" w16cid:durableId="398787671">
    <w:abstractNumId w:val="11"/>
  </w:num>
  <w:num w:numId="24" w16cid:durableId="671181131">
    <w:abstractNumId w:val="10"/>
  </w:num>
  <w:num w:numId="25" w16cid:durableId="1500577827">
    <w:abstractNumId w:val="30"/>
  </w:num>
  <w:num w:numId="26" w16cid:durableId="341667240">
    <w:abstractNumId w:val="0"/>
  </w:num>
  <w:num w:numId="27" w16cid:durableId="920528445">
    <w:abstractNumId w:val="12"/>
  </w:num>
  <w:num w:numId="28" w16cid:durableId="5182461">
    <w:abstractNumId w:val="33"/>
  </w:num>
  <w:num w:numId="29" w16cid:durableId="376004592">
    <w:abstractNumId w:val="17"/>
  </w:num>
  <w:num w:numId="30" w16cid:durableId="2079478914">
    <w:abstractNumId w:val="22"/>
  </w:num>
  <w:num w:numId="31" w16cid:durableId="1335108257">
    <w:abstractNumId w:val="9"/>
  </w:num>
  <w:num w:numId="32" w16cid:durableId="611128570">
    <w:abstractNumId w:val="36"/>
  </w:num>
  <w:num w:numId="33" w16cid:durableId="491529296">
    <w:abstractNumId w:val="16"/>
  </w:num>
  <w:num w:numId="34" w16cid:durableId="675881932">
    <w:abstractNumId w:val="34"/>
  </w:num>
  <w:num w:numId="35" w16cid:durableId="1937787407">
    <w:abstractNumId w:val="29"/>
  </w:num>
  <w:num w:numId="36" w16cid:durableId="423771989">
    <w:abstractNumId w:val="28"/>
  </w:num>
  <w:num w:numId="37" w16cid:durableId="371000353">
    <w:abstractNumId w:val="3"/>
  </w:num>
  <w:num w:numId="38" w16cid:durableId="16297760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88"/>
    <w:rsid w:val="0000195A"/>
    <w:rsid w:val="0000349A"/>
    <w:rsid w:val="00014410"/>
    <w:rsid w:val="0001455B"/>
    <w:rsid w:val="00014EF8"/>
    <w:rsid w:val="000155EC"/>
    <w:rsid w:val="00022546"/>
    <w:rsid w:val="000234AA"/>
    <w:rsid w:val="0002589F"/>
    <w:rsid w:val="00032B8E"/>
    <w:rsid w:val="000362E6"/>
    <w:rsid w:val="00051A14"/>
    <w:rsid w:val="000607EE"/>
    <w:rsid w:val="00063A36"/>
    <w:rsid w:val="00074146"/>
    <w:rsid w:val="000752FC"/>
    <w:rsid w:val="000770BE"/>
    <w:rsid w:val="00090546"/>
    <w:rsid w:val="000A306C"/>
    <w:rsid w:val="000A738C"/>
    <w:rsid w:val="000B098F"/>
    <w:rsid w:val="000B457F"/>
    <w:rsid w:val="000C0C3B"/>
    <w:rsid w:val="000C1546"/>
    <w:rsid w:val="000D3BB3"/>
    <w:rsid w:val="000D49A3"/>
    <w:rsid w:val="000E0A53"/>
    <w:rsid w:val="000E667A"/>
    <w:rsid w:val="000F00EB"/>
    <w:rsid w:val="000F61FF"/>
    <w:rsid w:val="000F72F4"/>
    <w:rsid w:val="0010093A"/>
    <w:rsid w:val="001021D9"/>
    <w:rsid w:val="00102A8E"/>
    <w:rsid w:val="00110EA4"/>
    <w:rsid w:val="00111884"/>
    <w:rsid w:val="00120B00"/>
    <w:rsid w:val="001213A8"/>
    <w:rsid w:val="001222B7"/>
    <w:rsid w:val="001228A3"/>
    <w:rsid w:val="00123644"/>
    <w:rsid w:val="0013080C"/>
    <w:rsid w:val="00131B06"/>
    <w:rsid w:val="00141FA3"/>
    <w:rsid w:val="001438B5"/>
    <w:rsid w:val="00143AD7"/>
    <w:rsid w:val="00144F3A"/>
    <w:rsid w:val="00150D8B"/>
    <w:rsid w:val="001534D8"/>
    <w:rsid w:val="0015514A"/>
    <w:rsid w:val="0015559D"/>
    <w:rsid w:val="0016028F"/>
    <w:rsid w:val="00160707"/>
    <w:rsid w:val="00180CEF"/>
    <w:rsid w:val="00181008"/>
    <w:rsid w:val="001818CA"/>
    <w:rsid w:val="00181F90"/>
    <w:rsid w:val="0019139F"/>
    <w:rsid w:val="00192C0C"/>
    <w:rsid w:val="001A0461"/>
    <w:rsid w:val="001A1BC5"/>
    <w:rsid w:val="001A30A9"/>
    <w:rsid w:val="001A6611"/>
    <w:rsid w:val="001B1B1C"/>
    <w:rsid w:val="001B37F6"/>
    <w:rsid w:val="001C7111"/>
    <w:rsid w:val="001D2E47"/>
    <w:rsid w:val="001E47CC"/>
    <w:rsid w:val="001F2111"/>
    <w:rsid w:val="001F4583"/>
    <w:rsid w:val="001F565B"/>
    <w:rsid w:val="00206F35"/>
    <w:rsid w:val="00212F81"/>
    <w:rsid w:val="0021451D"/>
    <w:rsid w:val="00214DBE"/>
    <w:rsid w:val="00225C3A"/>
    <w:rsid w:val="00227F90"/>
    <w:rsid w:val="00233B46"/>
    <w:rsid w:val="00234737"/>
    <w:rsid w:val="0024236D"/>
    <w:rsid w:val="002463A8"/>
    <w:rsid w:val="0024778E"/>
    <w:rsid w:val="00260A4B"/>
    <w:rsid w:val="00270BDE"/>
    <w:rsid w:val="00273BCE"/>
    <w:rsid w:val="00273CB0"/>
    <w:rsid w:val="00277F90"/>
    <w:rsid w:val="00281524"/>
    <w:rsid w:val="002821BE"/>
    <w:rsid w:val="00284B9F"/>
    <w:rsid w:val="002A6E8E"/>
    <w:rsid w:val="002B441C"/>
    <w:rsid w:val="002C52BE"/>
    <w:rsid w:val="002C54D5"/>
    <w:rsid w:val="002D0879"/>
    <w:rsid w:val="002D74BA"/>
    <w:rsid w:val="002E09B1"/>
    <w:rsid w:val="002E0D07"/>
    <w:rsid w:val="002E40EF"/>
    <w:rsid w:val="002E7C84"/>
    <w:rsid w:val="002E7F13"/>
    <w:rsid w:val="002F3673"/>
    <w:rsid w:val="002F4652"/>
    <w:rsid w:val="00300049"/>
    <w:rsid w:val="00301E6E"/>
    <w:rsid w:val="0030345E"/>
    <w:rsid w:val="00303961"/>
    <w:rsid w:val="00311841"/>
    <w:rsid w:val="00314EBA"/>
    <w:rsid w:val="00316BBE"/>
    <w:rsid w:val="00327EEE"/>
    <w:rsid w:val="0033186A"/>
    <w:rsid w:val="00332FF7"/>
    <w:rsid w:val="00337ABF"/>
    <w:rsid w:val="00345F62"/>
    <w:rsid w:val="003479F8"/>
    <w:rsid w:val="003512E5"/>
    <w:rsid w:val="0036080B"/>
    <w:rsid w:val="0037533B"/>
    <w:rsid w:val="00380AA6"/>
    <w:rsid w:val="00384124"/>
    <w:rsid w:val="0038511C"/>
    <w:rsid w:val="0039064C"/>
    <w:rsid w:val="00393447"/>
    <w:rsid w:val="003A0007"/>
    <w:rsid w:val="003A18EC"/>
    <w:rsid w:val="003A3C86"/>
    <w:rsid w:val="003B0177"/>
    <w:rsid w:val="003B63ED"/>
    <w:rsid w:val="003C11E3"/>
    <w:rsid w:val="003C1570"/>
    <w:rsid w:val="003C1B27"/>
    <w:rsid w:val="003C3431"/>
    <w:rsid w:val="003D02B7"/>
    <w:rsid w:val="003D5767"/>
    <w:rsid w:val="003D6CA1"/>
    <w:rsid w:val="003E017C"/>
    <w:rsid w:val="003E46EE"/>
    <w:rsid w:val="003E4D06"/>
    <w:rsid w:val="003F0D77"/>
    <w:rsid w:val="003F4AB6"/>
    <w:rsid w:val="00400C41"/>
    <w:rsid w:val="00404243"/>
    <w:rsid w:val="00404820"/>
    <w:rsid w:val="004075FB"/>
    <w:rsid w:val="00411E52"/>
    <w:rsid w:val="004233DF"/>
    <w:rsid w:val="00423F99"/>
    <w:rsid w:val="00434DEC"/>
    <w:rsid w:val="00436368"/>
    <w:rsid w:val="00443A3A"/>
    <w:rsid w:val="004456BD"/>
    <w:rsid w:val="00453A0A"/>
    <w:rsid w:val="004576E4"/>
    <w:rsid w:val="00464D9C"/>
    <w:rsid w:val="004705E3"/>
    <w:rsid w:val="00476015"/>
    <w:rsid w:val="004806D4"/>
    <w:rsid w:val="00491AA0"/>
    <w:rsid w:val="00494A2B"/>
    <w:rsid w:val="004A15EF"/>
    <w:rsid w:val="004A17BC"/>
    <w:rsid w:val="004A1EE9"/>
    <w:rsid w:val="004A70EE"/>
    <w:rsid w:val="004B2F2C"/>
    <w:rsid w:val="004C5746"/>
    <w:rsid w:val="004C7026"/>
    <w:rsid w:val="004E0EC8"/>
    <w:rsid w:val="004F5A86"/>
    <w:rsid w:val="00510280"/>
    <w:rsid w:val="005123B4"/>
    <w:rsid w:val="00522F01"/>
    <w:rsid w:val="005352B4"/>
    <w:rsid w:val="0054060B"/>
    <w:rsid w:val="005410DB"/>
    <w:rsid w:val="00542031"/>
    <w:rsid w:val="00546614"/>
    <w:rsid w:val="005508D1"/>
    <w:rsid w:val="005516FC"/>
    <w:rsid w:val="0056149E"/>
    <w:rsid w:val="0056192D"/>
    <w:rsid w:val="00574CE1"/>
    <w:rsid w:val="00575884"/>
    <w:rsid w:val="005759FB"/>
    <w:rsid w:val="00580A62"/>
    <w:rsid w:val="005831CB"/>
    <w:rsid w:val="00585788"/>
    <w:rsid w:val="005872DA"/>
    <w:rsid w:val="00591254"/>
    <w:rsid w:val="005962FC"/>
    <w:rsid w:val="00596414"/>
    <w:rsid w:val="005A075D"/>
    <w:rsid w:val="005B6F52"/>
    <w:rsid w:val="005C0CE5"/>
    <w:rsid w:val="005C44FC"/>
    <w:rsid w:val="005C5712"/>
    <w:rsid w:val="005C5744"/>
    <w:rsid w:val="005D5576"/>
    <w:rsid w:val="005D6727"/>
    <w:rsid w:val="005D76D6"/>
    <w:rsid w:val="005E3A4A"/>
    <w:rsid w:val="005E6614"/>
    <w:rsid w:val="005F129A"/>
    <w:rsid w:val="005F26A4"/>
    <w:rsid w:val="005F3B68"/>
    <w:rsid w:val="00601394"/>
    <w:rsid w:val="00603D16"/>
    <w:rsid w:val="0060415F"/>
    <w:rsid w:val="00611899"/>
    <w:rsid w:val="00615364"/>
    <w:rsid w:val="00615FA2"/>
    <w:rsid w:val="00616DA4"/>
    <w:rsid w:val="0061770F"/>
    <w:rsid w:val="00624761"/>
    <w:rsid w:val="00627588"/>
    <w:rsid w:val="00627FAA"/>
    <w:rsid w:val="0063714D"/>
    <w:rsid w:val="00637836"/>
    <w:rsid w:val="00644197"/>
    <w:rsid w:val="0064756F"/>
    <w:rsid w:val="00651D12"/>
    <w:rsid w:val="00654DDD"/>
    <w:rsid w:val="006660FB"/>
    <w:rsid w:val="00675437"/>
    <w:rsid w:val="006771D0"/>
    <w:rsid w:val="00683266"/>
    <w:rsid w:val="00683FD3"/>
    <w:rsid w:val="00685EC2"/>
    <w:rsid w:val="00692160"/>
    <w:rsid w:val="00692202"/>
    <w:rsid w:val="00693288"/>
    <w:rsid w:val="006A5107"/>
    <w:rsid w:val="006A574D"/>
    <w:rsid w:val="006A6A0C"/>
    <w:rsid w:val="006B1E6A"/>
    <w:rsid w:val="006B2EC9"/>
    <w:rsid w:val="006B30B7"/>
    <w:rsid w:val="006B312C"/>
    <w:rsid w:val="006C11A8"/>
    <w:rsid w:val="006C68BC"/>
    <w:rsid w:val="006D03BB"/>
    <w:rsid w:val="006D1852"/>
    <w:rsid w:val="006D5D56"/>
    <w:rsid w:val="006D7192"/>
    <w:rsid w:val="006E3758"/>
    <w:rsid w:val="006E39D0"/>
    <w:rsid w:val="006E60AB"/>
    <w:rsid w:val="006E693F"/>
    <w:rsid w:val="006F3ED2"/>
    <w:rsid w:val="006F607C"/>
    <w:rsid w:val="006F7DA9"/>
    <w:rsid w:val="00700E8A"/>
    <w:rsid w:val="0070326C"/>
    <w:rsid w:val="00703748"/>
    <w:rsid w:val="007114A6"/>
    <w:rsid w:val="007147FE"/>
    <w:rsid w:val="00720795"/>
    <w:rsid w:val="00720B2F"/>
    <w:rsid w:val="00722B71"/>
    <w:rsid w:val="00723734"/>
    <w:rsid w:val="007243E7"/>
    <w:rsid w:val="00724E0C"/>
    <w:rsid w:val="00725FFC"/>
    <w:rsid w:val="007276C9"/>
    <w:rsid w:val="0073636B"/>
    <w:rsid w:val="0073797F"/>
    <w:rsid w:val="00745E56"/>
    <w:rsid w:val="00750A32"/>
    <w:rsid w:val="00761CEC"/>
    <w:rsid w:val="00765ECE"/>
    <w:rsid w:val="007662B4"/>
    <w:rsid w:val="00766C74"/>
    <w:rsid w:val="00770A66"/>
    <w:rsid w:val="00771150"/>
    <w:rsid w:val="00772EA1"/>
    <w:rsid w:val="0077548F"/>
    <w:rsid w:val="00780322"/>
    <w:rsid w:val="007869BB"/>
    <w:rsid w:val="007904EF"/>
    <w:rsid w:val="00793C7F"/>
    <w:rsid w:val="00796BF3"/>
    <w:rsid w:val="00797FE2"/>
    <w:rsid w:val="007A2237"/>
    <w:rsid w:val="007A354E"/>
    <w:rsid w:val="007B2064"/>
    <w:rsid w:val="007B5286"/>
    <w:rsid w:val="007C3E60"/>
    <w:rsid w:val="007D2300"/>
    <w:rsid w:val="007D7E5F"/>
    <w:rsid w:val="007E020A"/>
    <w:rsid w:val="007E02EE"/>
    <w:rsid w:val="007E37B4"/>
    <w:rsid w:val="007E406D"/>
    <w:rsid w:val="007F216C"/>
    <w:rsid w:val="00807C9E"/>
    <w:rsid w:val="008108CD"/>
    <w:rsid w:val="00810E90"/>
    <w:rsid w:val="008154DF"/>
    <w:rsid w:val="008175D5"/>
    <w:rsid w:val="00817BBE"/>
    <w:rsid w:val="008209E1"/>
    <w:rsid w:val="008237BE"/>
    <w:rsid w:val="00832458"/>
    <w:rsid w:val="00840D29"/>
    <w:rsid w:val="00854F0A"/>
    <w:rsid w:val="008577D3"/>
    <w:rsid w:val="0086005B"/>
    <w:rsid w:val="00862018"/>
    <w:rsid w:val="0086428C"/>
    <w:rsid w:val="00871BF8"/>
    <w:rsid w:val="008747D5"/>
    <w:rsid w:val="008759B3"/>
    <w:rsid w:val="00881F93"/>
    <w:rsid w:val="008824E0"/>
    <w:rsid w:val="00886348"/>
    <w:rsid w:val="00886C68"/>
    <w:rsid w:val="008878E4"/>
    <w:rsid w:val="00890154"/>
    <w:rsid w:val="00891D04"/>
    <w:rsid w:val="008947D2"/>
    <w:rsid w:val="008A0540"/>
    <w:rsid w:val="008A2A1B"/>
    <w:rsid w:val="008A2C07"/>
    <w:rsid w:val="008A3F68"/>
    <w:rsid w:val="008A6C8E"/>
    <w:rsid w:val="008B19FA"/>
    <w:rsid w:val="008B2F8D"/>
    <w:rsid w:val="008B7048"/>
    <w:rsid w:val="008C085E"/>
    <w:rsid w:val="008C71D1"/>
    <w:rsid w:val="008C765B"/>
    <w:rsid w:val="008D1F65"/>
    <w:rsid w:val="008D485C"/>
    <w:rsid w:val="008D56CA"/>
    <w:rsid w:val="008E3449"/>
    <w:rsid w:val="008F612C"/>
    <w:rsid w:val="008F7393"/>
    <w:rsid w:val="00900244"/>
    <w:rsid w:val="0090091C"/>
    <w:rsid w:val="00900F15"/>
    <w:rsid w:val="0090737C"/>
    <w:rsid w:val="0091320B"/>
    <w:rsid w:val="009135F2"/>
    <w:rsid w:val="0091406E"/>
    <w:rsid w:val="00915125"/>
    <w:rsid w:val="00917983"/>
    <w:rsid w:val="00934726"/>
    <w:rsid w:val="00935ABA"/>
    <w:rsid w:val="00942EAC"/>
    <w:rsid w:val="009501BE"/>
    <w:rsid w:val="00956EA7"/>
    <w:rsid w:val="00960A13"/>
    <w:rsid w:val="00964E2C"/>
    <w:rsid w:val="009650BC"/>
    <w:rsid w:val="0097315B"/>
    <w:rsid w:val="009734C1"/>
    <w:rsid w:val="00973F4F"/>
    <w:rsid w:val="009757BE"/>
    <w:rsid w:val="0098446C"/>
    <w:rsid w:val="00986779"/>
    <w:rsid w:val="009928A7"/>
    <w:rsid w:val="00994105"/>
    <w:rsid w:val="009955CD"/>
    <w:rsid w:val="009A35B7"/>
    <w:rsid w:val="009A6A92"/>
    <w:rsid w:val="009B7037"/>
    <w:rsid w:val="009B7EC1"/>
    <w:rsid w:val="009C1A1D"/>
    <w:rsid w:val="009C1BC6"/>
    <w:rsid w:val="009C226A"/>
    <w:rsid w:val="009C6128"/>
    <w:rsid w:val="009D1549"/>
    <w:rsid w:val="009D3412"/>
    <w:rsid w:val="009E0240"/>
    <w:rsid w:val="009E1AC4"/>
    <w:rsid w:val="009E3FCC"/>
    <w:rsid w:val="00A05C77"/>
    <w:rsid w:val="00A05EF5"/>
    <w:rsid w:val="00A11469"/>
    <w:rsid w:val="00A1428D"/>
    <w:rsid w:val="00A16AA8"/>
    <w:rsid w:val="00A17260"/>
    <w:rsid w:val="00A21DAB"/>
    <w:rsid w:val="00A32926"/>
    <w:rsid w:val="00A40AAE"/>
    <w:rsid w:val="00A44970"/>
    <w:rsid w:val="00A55A9A"/>
    <w:rsid w:val="00A63A83"/>
    <w:rsid w:val="00A659A5"/>
    <w:rsid w:val="00A73C87"/>
    <w:rsid w:val="00A83301"/>
    <w:rsid w:val="00A865F3"/>
    <w:rsid w:val="00A91C0F"/>
    <w:rsid w:val="00A946A2"/>
    <w:rsid w:val="00A958C0"/>
    <w:rsid w:val="00AA1AFD"/>
    <w:rsid w:val="00AA3764"/>
    <w:rsid w:val="00AA661E"/>
    <w:rsid w:val="00AA6DC3"/>
    <w:rsid w:val="00AB3A9E"/>
    <w:rsid w:val="00AB7431"/>
    <w:rsid w:val="00AB7728"/>
    <w:rsid w:val="00AC0DCA"/>
    <w:rsid w:val="00AC2601"/>
    <w:rsid w:val="00AC46B9"/>
    <w:rsid w:val="00AC64FE"/>
    <w:rsid w:val="00AD26F3"/>
    <w:rsid w:val="00AD4852"/>
    <w:rsid w:val="00AD5088"/>
    <w:rsid w:val="00AE5496"/>
    <w:rsid w:val="00AF110A"/>
    <w:rsid w:val="00AF414A"/>
    <w:rsid w:val="00B036B3"/>
    <w:rsid w:val="00B04005"/>
    <w:rsid w:val="00B0742D"/>
    <w:rsid w:val="00B11C6B"/>
    <w:rsid w:val="00B23443"/>
    <w:rsid w:val="00B336DB"/>
    <w:rsid w:val="00B34C0F"/>
    <w:rsid w:val="00B3504F"/>
    <w:rsid w:val="00B3508F"/>
    <w:rsid w:val="00B35A62"/>
    <w:rsid w:val="00B40393"/>
    <w:rsid w:val="00B403EA"/>
    <w:rsid w:val="00B4653F"/>
    <w:rsid w:val="00B521A7"/>
    <w:rsid w:val="00B57CC5"/>
    <w:rsid w:val="00B57D19"/>
    <w:rsid w:val="00B613F9"/>
    <w:rsid w:val="00B64810"/>
    <w:rsid w:val="00B726CF"/>
    <w:rsid w:val="00B73CFC"/>
    <w:rsid w:val="00B85781"/>
    <w:rsid w:val="00B90B9D"/>
    <w:rsid w:val="00BA0790"/>
    <w:rsid w:val="00BA2521"/>
    <w:rsid w:val="00BA3BD2"/>
    <w:rsid w:val="00BA41A9"/>
    <w:rsid w:val="00BA43E9"/>
    <w:rsid w:val="00BA5442"/>
    <w:rsid w:val="00BA75B6"/>
    <w:rsid w:val="00BB2AFE"/>
    <w:rsid w:val="00BB4452"/>
    <w:rsid w:val="00BB6D8D"/>
    <w:rsid w:val="00BD57C6"/>
    <w:rsid w:val="00BE2CEE"/>
    <w:rsid w:val="00BE6626"/>
    <w:rsid w:val="00BF1BC2"/>
    <w:rsid w:val="00BF44C1"/>
    <w:rsid w:val="00BF6BD5"/>
    <w:rsid w:val="00C00615"/>
    <w:rsid w:val="00C0087D"/>
    <w:rsid w:val="00C05249"/>
    <w:rsid w:val="00C05573"/>
    <w:rsid w:val="00C0714E"/>
    <w:rsid w:val="00C077D3"/>
    <w:rsid w:val="00C1012E"/>
    <w:rsid w:val="00C118A4"/>
    <w:rsid w:val="00C14025"/>
    <w:rsid w:val="00C15DDE"/>
    <w:rsid w:val="00C2404E"/>
    <w:rsid w:val="00C27316"/>
    <w:rsid w:val="00C27BD2"/>
    <w:rsid w:val="00C359EF"/>
    <w:rsid w:val="00C44EE8"/>
    <w:rsid w:val="00C464BA"/>
    <w:rsid w:val="00C61FB7"/>
    <w:rsid w:val="00C64E63"/>
    <w:rsid w:val="00C72B38"/>
    <w:rsid w:val="00C838DE"/>
    <w:rsid w:val="00C91424"/>
    <w:rsid w:val="00C92832"/>
    <w:rsid w:val="00CA4235"/>
    <w:rsid w:val="00CB0279"/>
    <w:rsid w:val="00CB508D"/>
    <w:rsid w:val="00CC18CC"/>
    <w:rsid w:val="00CC2DB4"/>
    <w:rsid w:val="00CC60D3"/>
    <w:rsid w:val="00CC7F8A"/>
    <w:rsid w:val="00CD003F"/>
    <w:rsid w:val="00CD4FB5"/>
    <w:rsid w:val="00CD52CD"/>
    <w:rsid w:val="00CD7C7E"/>
    <w:rsid w:val="00CE00F5"/>
    <w:rsid w:val="00CE18B7"/>
    <w:rsid w:val="00CE18D1"/>
    <w:rsid w:val="00CF0CF4"/>
    <w:rsid w:val="00D05FBB"/>
    <w:rsid w:val="00D07826"/>
    <w:rsid w:val="00D125EC"/>
    <w:rsid w:val="00D16254"/>
    <w:rsid w:val="00D21C4C"/>
    <w:rsid w:val="00D23F70"/>
    <w:rsid w:val="00D30397"/>
    <w:rsid w:val="00D35F6E"/>
    <w:rsid w:val="00D55543"/>
    <w:rsid w:val="00D562F4"/>
    <w:rsid w:val="00D61FC9"/>
    <w:rsid w:val="00D6202D"/>
    <w:rsid w:val="00D755B4"/>
    <w:rsid w:val="00D958A2"/>
    <w:rsid w:val="00DA32B9"/>
    <w:rsid w:val="00DB701C"/>
    <w:rsid w:val="00DD0FB7"/>
    <w:rsid w:val="00DD1A06"/>
    <w:rsid w:val="00DD646E"/>
    <w:rsid w:val="00DD6A41"/>
    <w:rsid w:val="00DD6A81"/>
    <w:rsid w:val="00DD79C7"/>
    <w:rsid w:val="00DE0B0C"/>
    <w:rsid w:val="00DE0FAC"/>
    <w:rsid w:val="00DE3478"/>
    <w:rsid w:val="00DE62A1"/>
    <w:rsid w:val="00DF55DE"/>
    <w:rsid w:val="00E012D6"/>
    <w:rsid w:val="00E15FBE"/>
    <w:rsid w:val="00E20CB4"/>
    <w:rsid w:val="00E22E8E"/>
    <w:rsid w:val="00E26342"/>
    <w:rsid w:val="00E269BB"/>
    <w:rsid w:val="00E30C6B"/>
    <w:rsid w:val="00E32EC5"/>
    <w:rsid w:val="00E34E2F"/>
    <w:rsid w:val="00E45325"/>
    <w:rsid w:val="00E45CDE"/>
    <w:rsid w:val="00E47531"/>
    <w:rsid w:val="00E51675"/>
    <w:rsid w:val="00E61BEE"/>
    <w:rsid w:val="00E65BDF"/>
    <w:rsid w:val="00E670C6"/>
    <w:rsid w:val="00E71F41"/>
    <w:rsid w:val="00E775B9"/>
    <w:rsid w:val="00E8461C"/>
    <w:rsid w:val="00E857A1"/>
    <w:rsid w:val="00E92E33"/>
    <w:rsid w:val="00E953CB"/>
    <w:rsid w:val="00EA0E1E"/>
    <w:rsid w:val="00EA6B1B"/>
    <w:rsid w:val="00EA7566"/>
    <w:rsid w:val="00EB11C7"/>
    <w:rsid w:val="00EB23BC"/>
    <w:rsid w:val="00EC3F4C"/>
    <w:rsid w:val="00EC5276"/>
    <w:rsid w:val="00EC784A"/>
    <w:rsid w:val="00ED63F9"/>
    <w:rsid w:val="00EE0311"/>
    <w:rsid w:val="00EE0F60"/>
    <w:rsid w:val="00EE2501"/>
    <w:rsid w:val="00EE79E0"/>
    <w:rsid w:val="00EF35F5"/>
    <w:rsid w:val="00EF3E21"/>
    <w:rsid w:val="00F02F67"/>
    <w:rsid w:val="00F1021F"/>
    <w:rsid w:val="00F1224A"/>
    <w:rsid w:val="00F13C67"/>
    <w:rsid w:val="00F14638"/>
    <w:rsid w:val="00F174D8"/>
    <w:rsid w:val="00F23E5B"/>
    <w:rsid w:val="00F243F5"/>
    <w:rsid w:val="00F266E6"/>
    <w:rsid w:val="00F3380A"/>
    <w:rsid w:val="00F366B7"/>
    <w:rsid w:val="00F373A5"/>
    <w:rsid w:val="00F506E1"/>
    <w:rsid w:val="00F5375C"/>
    <w:rsid w:val="00F54EB5"/>
    <w:rsid w:val="00F55AE2"/>
    <w:rsid w:val="00F56024"/>
    <w:rsid w:val="00F620C3"/>
    <w:rsid w:val="00F62C4C"/>
    <w:rsid w:val="00F66D28"/>
    <w:rsid w:val="00F67E9E"/>
    <w:rsid w:val="00F70C60"/>
    <w:rsid w:val="00F76993"/>
    <w:rsid w:val="00F802D8"/>
    <w:rsid w:val="00F82114"/>
    <w:rsid w:val="00F86A19"/>
    <w:rsid w:val="00F875B7"/>
    <w:rsid w:val="00F92EE1"/>
    <w:rsid w:val="00F97ED3"/>
    <w:rsid w:val="00FA6324"/>
    <w:rsid w:val="00FB04FE"/>
    <w:rsid w:val="00FB4EDE"/>
    <w:rsid w:val="00FB570C"/>
    <w:rsid w:val="00FC0BFA"/>
    <w:rsid w:val="00FC0F7C"/>
    <w:rsid w:val="00FD1718"/>
    <w:rsid w:val="00FE3A2B"/>
    <w:rsid w:val="00FE4B4E"/>
    <w:rsid w:val="00FF13E7"/>
    <w:rsid w:val="00FF4D56"/>
    <w:rsid w:val="00FF6550"/>
    <w:rsid w:val="0AF287CF"/>
    <w:rsid w:val="31AF4DD6"/>
    <w:rsid w:val="32248260"/>
    <w:rsid w:val="45C0A7BE"/>
    <w:rsid w:val="4E9BD613"/>
    <w:rsid w:val="5385BC4B"/>
    <w:rsid w:val="5A6C93BB"/>
    <w:rsid w:val="5BD0EE6F"/>
    <w:rsid w:val="5E9A85C2"/>
    <w:rsid w:val="6061ED95"/>
    <w:rsid w:val="775B20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E6B6"/>
  <w15:chartTrackingRefBased/>
  <w15:docId w15:val="{1919D021-B00D-4255-AC9E-E208559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88"/>
    <w:rPr>
      <w:rFonts w:ascii="Aptos" w:hAnsi="Aptos"/>
    </w:rPr>
  </w:style>
  <w:style w:type="paragraph" w:styleId="Heading1">
    <w:name w:val="heading 1"/>
    <w:basedOn w:val="Normal"/>
    <w:next w:val="Normal"/>
    <w:link w:val="Heading1Char"/>
    <w:uiPriority w:val="9"/>
    <w:qFormat/>
    <w:rsid w:val="00214DBE"/>
    <w:pPr>
      <w:keepNext/>
      <w:keepLines/>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214DBE"/>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C1B27"/>
    <w:pPr>
      <w:keepNext/>
      <w:keepLines/>
      <w:spacing w:before="160" w:after="80"/>
      <w:outlineLvl w:val="2"/>
    </w:pPr>
    <w:rPr>
      <w:rFonts w:asciiTheme="minorHAnsi" w:eastAsiaTheme="majorEastAsia" w:hAnsiTheme="minorHAnsi" w:cstheme="majorBidi"/>
      <w:i/>
      <w:color w:val="0F4761" w:themeColor="accent1" w:themeShade="BF"/>
      <w:szCs w:val="28"/>
    </w:rPr>
  </w:style>
  <w:style w:type="paragraph" w:styleId="Heading4">
    <w:name w:val="heading 4"/>
    <w:basedOn w:val="Normal"/>
    <w:next w:val="Normal"/>
    <w:link w:val="Heading4Char"/>
    <w:uiPriority w:val="9"/>
    <w:unhideWhenUsed/>
    <w:qFormat/>
    <w:rsid w:val="006932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932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32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32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32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32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214DBE"/>
    <w:pPr>
      <w:numPr>
        <w:numId w:val="1"/>
      </w:numPr>
      <w:spacing w:after="200"/>
      <w:contextualSpacing w:val="0"/>
    </w:pPr>
    <w:rPr>
      <w:rFonts w:eastAsia="Calibri" w:cs="Times New Roman"/>
      <w:kern w:val="0"/>
      <w14:ligatures w14:val="none"/>
    </w:rPr>
  </w:style>
  <w:style w:type="paragraph" w:styleId="ListParagraph">
    <w:name w:val="List Paragraph"/>
    <w:basedOn w:val="Normal"/>
    <w:uiPriority w:val="34"/>
    <w:qFormat/>
    <w:rsid w:val="00214DBE"/>
    <w:pPr>
      <w:ind w:left="720"/>
      <w:contextualSpacing/>
    </w:pPr>
  </w:style>
  <w:style w:type="paragraph" w:styleId="NoSpacing">
    <w:name w:val="No Spacing"/>
    <w:uiPriority w:val="1"/>
    <w:qFormat/>
    <w:rsid w:val="00214DBE"/>
    <w:pPr>
      <w:spacing w:after="0" w:line="240" w:lineRule="auto"/>
    </w:pPr>
    <w:rPr>
      <w:rFonts w:ascii="Aptos" w:hAnsi="Aptos"/>
    </w:rPr>
  </w:style>
  <w:style w:type="character" w:customStyle="1" w:styleId="Heading1Char">
    <w:name w:val="Heading 1 Char"/>
    <w:basedOn w:val="DefaultParagraphFont"/>
    <w:link w:val="Heading1"/>
    <w:uiPriority w:val="9"/>
    <w:rsid w:val="00214DBE"/>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214DBE"/>
    <w:rPr>
      <w:rFonts w:ascii="Aptos" w:eastAsiaTheme="majorEastAsia" w:hAnsi="Aptos" w:cstheme="majorBidi"/>
      <w:b/>
      <w:sz w:val="24"/>
      <w:szCs w:val="26"/>
    </w:rPr>
  </w:style>
  <w:style w:type="paragraph" w:styleId="Title">
    <w:name w:val="Title"/>
    <w:basedOn w:val="Normal"/>
    <w:next w:val="Normal"/>
    <w:link w:val="TitleChar"/>
    <w:uiPriority w:val="10"/>
    <w:qFormat/>
    <w:rsid w:val="00214DBE"/>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214DBE"/>
    <w:rPr>
      <w:rFonts w:ascii="Aptos" w:eastAsiaTheme="majorEastAsia" w:hAnsi="Aptos" w:cstheme="majorBidi"/>
      <w:b/>
      <w:spacing w:val="-10"/>
      <w:kern w:val="28"/>
      <w:sz w:val="48"/>
      <w:szCs w:val="56"/>
    </w:rPr>
  </w:style>
  <w:style w:type="character" w:customStyle="1" w:styleId="Heading3Char">
    <w:name w:val="Heading 3 Char"/>
    <w:basedOn w:val="DefaultParagraphFont"/>
    <w:link w:val="Heading3"/>
    <w:uiPriority w:val="9"/>
    <w:rsid w:val="003C1B27"/>
    <w:rPr>
      <w:rFonts w:eastAsiaTheme="majorEastAsia" w:cstheme="majorBidi"/>
      <w:i/>
      <w:color w:val="0F4761" w:themeColor="accent1" w:themeShade="BF"/>
      <w:szCs w:val="28"/>
    </w:rPr>
  </w:style>
  <w:style w:type="character" w:customStyle="1" w:styleId="Heading4Char">
    <w:name w:val="Heading 4 Char"/>
    <w:basedOn w:val="DefaultParagraphFont"/>
    <w:link w:val="Heading4"/>
    <w:uiPriority w:val="9"/>
    <w:rsid w:val="00693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288"/>
    <w:rPr>
      <w:rFonts w:eastAsiaTheme="majorEastAsia" w:cstheme="majorBidi"/>
      <w:color w:val="272727" w:themeColor="text1" w:themeTint="D8"/>
    </w:rPr>
  </w:style>
  <w:style w:type="paragraph" w:styleId="Subtitle">
    <w:name w:val="Subtitle"/>
    <w:basedOn w:val="Normal"/>
    <w:next w:val="Normal"/>
    <w:link w:val="SubtitleChar"/>
    <w:uiPriority w:val="11"/>
    <w:qFormat/>
    <w:rsid w:val="006932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2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3288"/>
    <w:rPr>
      <w:rFonts w:ascii="Aptos" w:hAnsi="Aptos"/>
      <w:i/>
      <w:iCs/>
      <w:color w:val="404040" w:themeColor="text1" w:themeTint="BF"/>
    </w:rPr>
  </w:style>
  <w:style w:type="character" w:styleId="IntenseEmphasis">
    <w:name w:val="Intense Emphasis"/>
    <w:basedOn w:val="DefaultParagraphFont"/>
    <w:uiPriority w:val="21"/>
    <w:qFormat/>
    <w:rsid w:val="00693288"/>
    <w:rPr>
      <w:i/>
      <w:iCs/>
      <w:color w:val="0F4761" w:themeColor="accent1" w:themeShade="BF"/>
    </w:rPr>
  </w:style>
  <w:style w:type="paragraph" w:styleId="IntenseQuote">
    <w:name w:val="Intense Quote"/>
    <w:basedOn w:val="Normal"/>
    <w:next w:val="Normal"/>
    <w:link w:val="IntenseQuoteChar"/>
    <w:uiPriority w:val="30"/>
    <w:qFormat/>
    <w:rsid w:val="00693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288"/>
    <w:rPr>
      <w:rFonts w:ascii="Aptos" w:hAnsi="Aptos"/>
      <w:i/>
      <w:iCs/>
      <w:color w:val="0F4761" w:themeColor="accent1" w:themeShade="BF"/>
    </w:rPr>
  </w:style>
  <w:style w:type="character" w:styleId="IntenseReference">
    <w:name w:val="Intense Reference"/>
    <w:basedOn w:val="DefaultParagraphFont"/>
    <w:uiPriority w:val="32"/>
    <w:qFormat/>
    <w:rsid w:val="00693288"/>
    <w:rPr>
      <w:b/>
      <w:bCs/>
      <w:smallCaps/>
      <w:color w:val="0F4761" w:themeColor="accent1" w:themeShade="BF"/>
      <w:spacing w:val="5"/>
    </w:rPr>
  </w:style>
  <w:style w:type="character" w:styleId="CommentReference">
    <w:name w:val="annotation reference"/>
    <w:basedOn w:val="DefaultParagraphFont"/>
    <w:uiPriority w:val="99"/>
    <w:semiHidden/>
    <w:unhideWhenUsed/>
    <w:rsid w:val="00693288"/>
    <w:rPr>
      <w:sz w:val="16"/>
      <w:szCs w:val="16"/>
    </w:rPr>
  </w:style>
  <w:style w:type="paragraph" w:styleId="CommentText">
    <w:name w:val="annotation text"/>
    <w:basedOn w:val="Normal"/>
    <w:link w:val="CommentTextChar"/>
    <w:uiPriority w:val="99"/>
    <w:unhideWhenUsed/>
    <w:rsid w:val="00693288"/>
    <w:pPr>
      <w:spacing w:line="240" w:lineRule="auto"/>
    </w:pPr>
    <w:rPr>
      <w:sz w:val="20"/>
      <w:szCs w:val="20"/>
    </w:rPr>
  </w:style>
  <w:style w:type="character" w:customStyle="1" w:styleId="CommentTextChar">
    <w:name w:val="Comment Text Char"/>
    <w:basedOn w:val="DefaultParagraphFont"/>
    <w:link w:val="CommentText"/>
    <w:uiPriority w:val="99"/>
    <w:rsid w:val="00693288"/>
    <w:rPr>
      <w:rFonts w:ascii="Aptos" w:hAnsi="Aptos"/>
      <w:sz w:val="20"/>
      <w:szCs w:val="20"/>
    </w:rPr>
  </w:style>
  <w:style w:type="paragraph" w:styleId="FootnoteText">
    <w:name w:val="footnote text"/>
    <w:basedOn w:val="Normal"/>
    <w:link w:val="FootnoteTextChar"/>
    <w:uiPriority w:val="99"/>
    <w:unhideWhenUsed/>
    <w:rsid w:val="00693288"/>
    <w:pPr>
      <w:spacing w:after="0" w:line="240" w:lineRule="auto"/>
    </w:pPr>
    <w:rPr>
      <w:sz w:val="20"/>
      <w:szCs w:val="20"/>
    </w:rPr>
  </w:style>
  <w:style w:type="character" w:customStyle="1" w:styleId="FootnoteTextChar">
    <w:name w:val="Footnote Text Char"/>
    <w:basedOn w:val="DefaultParagraphFont"/>
    <w:link w:val="FootnoteText"/>
    <w:uiPriority w:val="99"/>
    <w:rsid w:val="00693288"/>
    <w:rPr>
      <w:rFonts w:ascii="Aptos" w:hAnsi="Aptos"/>
      <w:sz w:val="20"/>
      <w:szCs w:val="20"/>
    </w:rPr>
  </w:style>
  <w:style w:type="character" w:styleId="FootnoteReference">
    <w:name w:val="footnote reference"/>
    <w:basedOn w:val="DefaultParagraphFont"/>
    <w:uiPriority w:val="99"/>
    <w:unhideWhenUsed/>
    <w:rsid w:val="00693288"/>
    <w:rPr>
      <w:vertAlign w:val="superscript"/>
    </w:rPr>
  </w:style>
  <w:style w:type="character" w:styleId="Hyperlink">
    <w:name w:val="Hyperlink"/>
    <w:basedOn w:val="DefaultParagraphFont"/>
    <w:uiPriority w:val="99"/>
    <w:unhideWhenUsed/>
    <w:rsid w:val="00693288"/>
    <w:rPr>
      <w:color w:val="467886" w:themeColor="hyperlink"/>
      <w:u w:val="single"/>
    </w:rPr>
  </w:style>
  <w:style w:type="table" w:styleId="TableGrid">
    <w:name w:val="Table Grid"/>
    <w:basedOn w:val="TableNormal"/>
    <w:uiPriority w:val="39"/>
    <w:rsid w:val="0069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
    <w:name w:val="legds"/>
    <w:basedOn w:val="DefaultParagraphFont"/>
    <w:rsid w:val="00693288"/>
  </w:style>
  <w:style w:type="paragraph" w:styleId="Caption">
    <w:name w:val="caption"/>
    <w:basedOn w:val="Normal"/>
    <w:next w:val="Normal"/>
    <w:link w:val="CaptionChar"/>
    <w:uiPriority w:val="35"/>
    <w:unhideWhenUsed/>
    <w:qFormat/>
    <w:rsid w:val="00693288"/>
    <w:pPr>
      <w:keepNext/>
      <w:spacing w:after="200" w:line="240" w:lineRule="auto"/>
    </w:pPr>
    <w:rPr>
      <w:i/>
      <w:iCs/>
      <w:color w:val="0E2841" w:themeColor="text2"/>
      <w:sz w:val="24"/>
      <w:szCs w:val="24"/>
    </w:rPr>
  </w:style>
  <w:style w:type="character" w:styleId="Mention">
    <w:name w:val="Mention"/>
    <w:basedOn w:val="DefaultParagraphFont"/>
    <w:uiPriority w:val="99"/>
    <w:unhideWhenUsed/>
    <w:rsid w:val="00693288"/>
    <w:rPr>
      <w:color w:val="2B579A"/>
      <w:shd w:val="clear" w:color="auto" w:fill="E1DFDD"/>
    </w:rPr>
  </w:style>
  <w:style w:type="character" w:customStyle="1" w:styleId="CaptionChar">
    <w:name w:val="Caption Char"/>
    <w:basedOn w:val="DefaultParagraphFont"/>
    <w:link w:val="Caption"/>
    <w:uiPriority w:val="35"/>
    <w:rsid w:val="00693288"/>
    <w:rPr>
      <w:rFonts w:ascii="Aptos" w:hAnsi="Aptos"/>
      <w:i/>
      <w:iCs/>
      <w:color w:val="0E2841" w:themeColor="text2"/>
      <w:sz w:val="24"/>
      <w:szCs w:val="24"/>
    </w:rPr>
  </w:style>
  <w:style w:type="paragraph" w:styleId="TOCHeading">
    <w:name w:val="TOC Heading"/>
    <w:basedOn w:val="Heading1"/>
    <w:next w:val="Normal"/>
    <w:uiPriority w:val="39"/>
    <w:unhideWhenUsed/>
    <w:qFormat/>
    <w:rsid w:val="00693288"/>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693288"/>
    <w:pPr>
      <w:spacing w:after="100"/>
    </w:pPr>
  </w:style>
  <w:style w:type="paragraph" w:styleId="TOC2">
    <w:name w:val="toc 2"/>
    <w:basedOn w:val="Normal"/>
    <w:next w:val="Normal"/>
    <w:autoRedefine/>
    <w:uiPriority w:val="39"/>
    <w:unhideWhenUsed/>
    <w:rsid w:val="00693288"/>
    <w:pPr>
      <w:spacing w:after="100"/>
      <w:ind w:left="220"/>
    </w:pPr>
  </w:style>
  <w:style w:type="paragraph" w:styleId="TOC3">
    <w:name w:val="toc 3"/>
    <w:basedOn w:val="Normal"/>
    <w:next w:val="Normal"/>
    <w:autoRedefine/>
    <w:uiPriority w:val="39"/>
    <w:unhideWhenUsed/>
    <w:rsid w:val="00693288"/>
    <w:pPr>
      <w:spacing w:after="100"/>
      <w:ind w:left="440"/>
    </w:pPr>
  </w:style>
  <w:style w:type="paragraph" w:styleId="CommentSubject">
    <w:name w:val="annotation subject"/>
    <w:basedOn w:val="CommentText"/>
    <w:next w:val="CommentText"/>
    <w:link w:val="CommentSubjectChar"/>
    <w:uiPriority w:val="99"/>
    <w:semiHidden/>
    <w:unhideWhenUsed/>
    <w:rsid w:val="00693288"/>
    <w:rPr>
      <w:b/>
      <w:bCs/>
    </w:rPr>
  </w:style>
  <w:style w:type="character" w:customStyle="1" w:styleId="CommentSubjectChar">
    <w:name w:val="Comment Subject Char"/>
    <w:basedOn w:val="CommentTextChar"/>
    <w:link w:val="CommentSubject"/>
    <w:uiPriority w:val="99"/>
    <w:semiHidden/>
    <w:rsid w:val="00693288"/>
    <w:rPr>
      <w:rFonts w:ascii="Aptos" w:hAnsi="Aptos"/>
      <w:b/>
      <w:bCs/>
      <w:sz w:val="20"/>
      <w:szCs w:val="20"/>
    </w:rPr>
  </w:style>
  <w:style w:type="paragraph" w:styleId="Header">
    <w:name w:val="header"/>
    <w:basedOn w:val="Normal"/>
    <w:link w:val="HeaderChar"/>
    <w:uiPriority w:val="99"/>
    <w:unhideWhenUsed/>
    <w:rsid w:val="003C1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27"/>
    <w:rPr>
      <w:rFonts w:ascii="Aptos" w:hAnsi="Aptos"/>
    </w:rPr>
  </w:style>
  <w:style w:type="paragraph" w:styleId="Footer">
    <w:name w:val="footer"/>
    <w:basedOn w:val="Normal"/>
    <w:link w:val="FooterChar"/>
    <w:uiPriority w:val="99"/>
    <w:unhideWhenUsed/>
    <w:rsid w:val="003C1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27"/>
    <w:rPr>
      <w:rFonts w:ascii="Aptos" w:hAnsi="Aptos"/>
    </w:rPr>
  </w:style>
  <w:style w:type="paragraph" w:styleId="Revision">
    <w:name w:val="Revision"/>
    <w:hidden/>
    <w:uiPriority w:val="99"/>
    <w:semiHidden/>
    <w:rsid w:val="009B7EC1"/>
    <w:pPr>
      <w:spacing w:after="0" w:line="240" w:lineRule="auto"/>
    </w:pPr>
    <w:rPr>
      <w:rFonts w:ascii="Aptos" w:hAnsi="Aptos"/>
    </w:rPr>
  </w:style>
  <w:style w:type="character" w:styleId="UnresolvedMention">
    <w:name w:val="Unresolved Mention"/>
    <w:basedOn w:val="DefaultParagraphFont"/>
    <w:uiPriority w:val="99"/>
    <w:semiHidden/>
    <w:unhideWhenUsed/>
    <w:rsid w:val="009B7EC1"/>
    <w:rPr>
      <w:color w:val="605E5C"/>
      <w:shd w:val="clear" w:color="auto" w:fill="E1DFDD"/>
    </w:rPr>
  </w:style>
  <w:style w:type="character" w:styleId="FollowedHyperlink">
    <w:name w:val="FollowedHyperlink"/>
    <w:basedOn w:val="DefaultParagraphFont"/>
    <w:uiPriority w:val="99"/>
    <w:semiHidden/>
    <w:unhideWhenUsed/>
    <w:rsid w:val="00AC64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97071">
      <w:bodyDiv w:val="1"/>
      <w:marLeft w:val="0"/>
      <w:marRight w:val="0"/>
      <w:marTop w:val="0"/>
      <w:marBottom w:val="0"/>
      <w:divBdr>
        <w:top w:val="none" w:sz="0" w:space="0" w:color="auto"/>
        <w:left w:val="none" w:sz="0" w:space="0" w:color="auto"/>
        <w:bottom w:val="none" w:sz="0" w:space="0" w:color="auto"/>
        <w:right w:val="none" w:sz="0" w:space="0" w:color="auto"/>
      </w:divBdr>
    </w:div>
    <w:div w:id="884483874">
      <w:bodyDiv w:val="1"/>
      <w:marLeft w:val="0"/>
      <w:marRight w:val="0"/>
      <w:marTop w:val="0"/>
      <w:marBottom w:val="0"/>
      <w:divBdr>
        <w:top w:val="none" w:sz="0" w:space="0" w:color="auto"/>
        <w:left w:val="none" w:sz="0" w:space="0" w:color="auto"/>
        <w:bottom w:val="none" w:sz="0" w:space="0" w:color="auto"/>
        <w:right w:val="none" w:sz="0" w:space="0" w:color="auto"/>
      </w:divBdr>
    </w:div>
    <w:div w:id="9079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ttyimages.co.uk/search/photographer?photographer=yevtony" TargetMode="External"/><Relationship Id="rId18" Type="http://schemas.openxmlformats.org/officeDocument/2006/relationships/hyperlink" Target="https://www.economy-ni.gov.uk/publications/energy-strategy-path-net-zero-energy" TargetMode="External"/><Relationship Id="rId26" Type="http://schemas.openxmlformats.org/officeDocument/2006/relationships/hyperlink" Target="https://www.gov.scot/binaries/content/documents/govscot/publications/strategy-plan/2020/10/sectoral-marine-plan-offshore-wind-energy/documents/sectoral-marine-plan-offshore-wind-energy/sectoral-marine-plan-offshore-wind-energy/govscot%3Adocument/sectoral-marine-plan-offshore-wind-energy.pdf" TargetMode="External"/><Relationship Id="rId39" Type="http://schemas.openxmlformats.org/officeDocument/2006/relationships/hyperlink" Target="https://www.gov.uk/government/publications/english-devolution-white-paper-power-and-partnership-foundations-for-growth/english-devolution-white-paper" TargetMode="External"/><Relationship Id="rId21" Type="http://schemas.openxmlformats.org/officeDocument/2006/relationships/hyperlink" Target="https://bills.parliament.uk/bills/3946" TargetMode="External"/><Relationship Id="rId34" Type="http://schemas.openxmlformats.org/officeDocument/2006/relationships/hyperlink" Target="https://www.legislation.gov.uk/nia/2011/25/content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wales/sites/default/files/publications/2019-07/energy-wales-a-low-carbon-transition.pdf" TargetMode="External"/><Relationship Id="rId29" Type="http://schemas.openxmlformats.org/officeDocument/2006/relationships/hyperlink" Target="https://www.gov.wales/future-wales-national-plan-2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en.co.uk/" TargetMode="External"/><Relationship Id="rId24" Type="http://schemas.openxmlformats.org/officeDocument/2006/relationships/hyperlink" Target="https://www.energyconsents.scot/" TargetMode="External"/><Relationship Id="rId32" Type="http://schemas.openxmlformats.org/officeDocument/2006/relationships/hyperlink" Target="https://law.gov.wales/sites/default/files/2024-06/Infrastructure%20%28Wales%29%20Act%202024%20English.pdf" TargetMode="External"/><Relationship Id="rId37" Type="http://schemas.openxmlformats.org/officeDocument/2006/relationships/hyperlink" Target="https://www.gov.uk/government/consultations/land-use-in-england" TargetMode="External"/><Relationship Id="rId40" Type="http://schemas.openxmlformats.org/officeDocument/2006/relationships/hyperlink" Target="https://faolex.fao.org/docs/pdf/uk206925.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scot/publications/draft-energy-strategy-transition-plan/" TargetMode="External"/><Relationship Id="rId23" Type="http://schemas.openxmlformats.org/officeDocument/2006/relationships/hyperlink" Target="https://www.legislation.gov.uk/ukdsi/2025/9780348269765" TargetMode="External"/><Relationship Id="rId28" Type="http://schemas.openxmlformats.org/officeDocument/2006/relationships/hyperlink" Target="https://www.gov.wales/welsh-government-takes-action-accelerate-infrastructure-planning-decisions" TargetMode="External"/><Relationship Id="rId36" Type="http://schemas.openxmlformats.org/officeDocument/2006/relationships/hyperlink" Target="https://www.gov.uk/government/news/government-launches-national-conversation-on-land-use" TargetMode="External"/><Relationship Id="rId10" Type="http://schemas.openxmlformats.org/officeDocument/2006/relationships/endnotes" Target="endnotes.xml"/><Relationship Id="rId19" Type="http://schemas.openxmlformats.org/officeDocument/2006/relationships/hyperlink" Target="https://www.gov.uk/government/collections/national-policy-statements-for-energy-infrastructure" TargetMode="External"/><Relationship Id="rId31" Type="http://schemas.openxmlformats.org/officeDocument/2006/relationships/hyperlink" Target="https://business.senedd.wales/mgIssueHistoryHome.aspx?IId=41502" TargetMode="External"/><Relationship Id="rId44" Type="http://schemas.openxmlformats.org/officeDocument/2006/relationships/hyperlink" Target="https://www.gov.uk/government/publications/english-devolution-white-paper-power-and-partnership-foundations-for-growth/english-devolution-white-pap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publications/clean-power-2030" TargetMode="External"/><Relationship Id="rId22" Type="http://schemas.openxmlformats.org/officeDocument/2006/relationships/hyperlink" Target="https://www.gov.uk/government/publications/national-policy-statement-for-electricity-networks-infrastructure-en-5/national-policy-statement-for-electricity-networks-infrastructure-en-5" TargetMode="External"/><Relationship Id="rId27" Type="http://schemas.openxmlformats.org/officeDocument/2006/relationships/hyperlink" Target="https://bills.parliament.uk/bills/3946" TargetMode="External"/><Relationship Id="rId30" Type="http://schemas.openxmlformats.org/officeDocument/2006/relationships/hyperlink" Target="https://www.gov.wales/planning-policy-wales" TargetMode="External"/><Relationship Id="rId35" Type="http://schemas.openxmlformats.org/officeDocument/2006/relationships/hyperlink" Target="https://www.legislation.gov.uk/ukpga/2023/55/part/3/chapter/2/crossheading/development-plans-and-national-policy" TargetMode="External"/><Relationship Id="rId43" Type="http://schemas.openxmlformats.org/officeDocument/2006/relationships/hyperlink" Target="https://www.gov.uk/government/publications/electricity-networks-connections-action-pl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tpi.org.uk/policy-and-research/spatial-approaches-to-local-energy-planning-resource-suite-salep/" TargetMode="External"/><Relationship Id="rId17" Type="http://schemas.openxmlformats.org/officeDocument/2006/relationships/hyperlink" Target="https://www.gov.wales/wales-aims-meet-100-its-electricity-needs-renewable-sources-2035" TargetMode="External"/><Relationship Id="rId25" Type="http://schemas.openxmlformats.org/officeDocument/2006/relationships/hyperlink" Target="https://www.energyconsents.scot/" TargetMode="External"/><Relationship Id="rId33" Type="http://schemas.openxmlformats.org/officeDocument/2006/relationships/hyperlink" Target="https://www.infrastructure-ni.gov.uk/publications/strategic-planning-policy-statement" TargetMode="External"/><Relationship Id="rId38" Type="http://schemas.openxmlformats.org/officeDocument/2006/relationships/hyperlink" Target="https://www.neso.energy/document/349126/download" TargetMode="External"/><Relationship Id="rId46" Type="http://schemas.openxmlformats.org/officeDocument/2006/relationships/theme" Target="theme/theme1.xml"/><Relationship Id="rId20" Type="http://schemas.openxmlformats.org/officeDocument/2006/relationships/hyperlink" Target="https://www.gov.uk/government/consultations/planning-for-new-energy-infrastructure-2025-revisions-to-national-policy-statements"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F2C1B-9A9D-4039-9BA1-6DA9C5F7B214}">
  <ds:schemaRefs>
    <ds:schemaRef ds:uri="http://schemas.openxmlformats.org/officeDocument/2006/bibliography"/>
  </ds:schemaRefs>
</ds:datastoreItem>
</file>

<file path=customXml/itemProps2.xml><?xml version="1.0" encoding="utf-8"?>
<ds:datastoreItem xmlns:ds="http://schemas.openxmlformats.org/officeDocument/2006/customXml" ds:itemID="{CCAFAAF7-9412-42E9-AB67-BBEF789EC156}">
  <ds:schemaRefs>
    <ds:schemaRef ds:uri="http://schemas.microsoft.com/office/2006/metadata/properties"/>
    <ds:schemaRef ds:uri="http://schemas.microsoft.com/office/infopath/2007/PartnerControls"/>
    <ds:schemaRef ds:uri="0d59e599-35bd-4039-b480-078e16f93b9f"/>
    <ds:schemaRef ds:uri="b32135bc-b2ec-415f-b9aa-be28010955f0"/>
  </ds:schemaRefs>
</ds:datastoreItem>
</file>

<file path=customXml/itemProps3.xml><?xml version="1.0" encoding="utf-8"?>
<ds:datastoreItem xmlns:ds="http://schemas.openxmlformats.org/officeDocument/2006/customXml" ds:itemID="{21AB93BB-942B-4133-82C3-5E6CD8F0275D}">
  <ds:schemaRefs>
    <ds:schemaRef ds:uri="http://schemas.microsoft.com/sharepoint/v3/contenttype/forms"/>
  </ds:schemaRefs>
</ds:datastoreItem>
</file>

<file path=customXml/itemProps4.xml><?xml version="1.0" encoding="utf-8"?>
<ds:datastoreItem xmlns:ds="http://schemas.openxmlformats.org/officeDocument/2006/customXml" ds:itemID="{FDE24640-9F2C-4304-84A6-36F5017F0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6452</Words>
  <Characters>36782</Characters>
  <Application>Microsoft Office Word</Application>
  <DocSecurity>0</DocSecurity>
  <Lines>306</Lines>
  <Paragraphs>86</Paragraphs>
  <ScaleCrop>false</ScaleCrop>
  <Company/>
  <LinksUpToDate>false</LinksUpToDate>
  <CharactersWithSpaces>43148</CharactersWithSpaces>
  <SharedDoc>false</SharedDoc>
  <HLinks>
    <vt:vector size="438" baseType="variant">
      <vt:variant>
        <vt:i4>5505040</vt:i4>
      </vt:variant>
      <vt:variant>
        <vt:i4>336</vt:i4>
      </vt:variant>
      <vt:variant>
        <vt:i4>0</vt:i4>
      </vt:variant>
      <vt:variant>
        <vt:i4>5</vt:i4>
      </vt:variant>
      <vt:variant>
        <vt:lpwstr>https://www.gov.uk/government/publications/english-devolution-white-paper-power-and-partnership-foundations-for-growth/english-devolution-white-paper</vt:lpwstr>
      </vt:variant>
      <vt:variant>
        <vt:lpwstr/>
      </vt:variant>
      <vt:variant>
        <vt:i4>3932195</vt:i4>
      </vt:variant>
      <vt:variant>
        <vt:i4>333</vt:i4>
      </vt:variant>
      <vt:variant>
        <vt:i4>0</vt:i4>
      </vt:variant>
      <vt:variant>
        <vt:i4>5</vt:i4>
      </vt:variant>
      <vt:variant>
        <vt:lpwstr>https://www.gov.uk/government/publications/electricity-networks-connections-action-plan</vt:lpwstr>
      </vt:variant>
      <vt:variant>
        <vt:lpwstr/>
      </vt:variant>
      <vt:variant>
        <vt:i4>4653075</vt:i4>
      </vt:variant>
      <vt:variant>
        <vt:i4>330</vt:i4>
      </vt:variant>
      <vt:variant>
        <vt:i4>0</vt:i4>
      </vt:variant>
      <vt:variant>
        <vt:i4>5</vt:i4>
      </vt:variant>
      <vt:variant>
        <vt:lpwstr>https://faolex.fao.org/docs/pdf/uk206925.pdf</vt:lpwstr>
      </vt:variant>
      <vt:variant>
        <vt:lpwstr/>
      </vt:variant>
      <vt:variant>
        <vt:i4>5505040</vt:i4>
      </vt:variant>
      <vt:variant>
        <vt:i4>327</vt:i4>
      </vt:variant>
      <vt:variant>
        <vt:i4>0</vt:i4>
      </vt:variant>
      <vt:variant>
        <vt:i4>5</vt:i4>
      </vt:variant>
      <vt:variant>
        <vt:lpwstr>https://www.gov.uk/government/publications/english-devolution-white-paper-power-and-partnership-foundations-for-growth/english-devolution-white-paper</vt:lpwstr>
      </vt:variant>
      <vt:variant>
        <vt:lpwstr/>
      </vt:variant>
      <vt:variant>
        <vt:i4>1835024</vt:i4>
      </vt:variant>
      <vt:variant>
        <vt:i4>321</vt:i4>
      </vt:variant>
      <vt:variant>
        <vt:i4>0</vt:i4>
      </vt:variant>
      <vt:variant>
        <vt:i4>5</vt:i4>
      </vt:variant>
      <vt:variant>
        <vt:lpwstr>https://www.neso.energy/document/349126/download</vt:lpwstr>
      </vt:variant>
      <vt:variant>
        <vt:lpwstr/>
      </vt:variant>
      <vt:variant>
        <vt:i4>2687078</vt:i4>
      </vt:variant>
      <vt:variant>
        <vt:i4>318</vt:i4>
      </vt:variant>
      <vt:variant>
        <vt:i4>0</vt:i4>
      </vt:variant>
      <vt:variant>
        <vt:i4>5</vt:i4>
      </vt:variant>
      <vt:variant>
        <vt:lpwstr>https://www.gov.uk/government/consultations/land-use-in-england</vt:lpwstr>
      </vt:variant>
      <vt:variant>
        <vt:lpwstr/>
      </vt:variant>
      <vt:variant>
        <vt:i4>65562</vt:i4>
      </vt:variant>
      <vt:variant>
        <vt:i4>315</vt:i4>
      </vt:variant>
      <vt:variant>
        <vt:i4>0</vt:i4>
      </vt:variant>
      <vt:variant>
        <vt:i4>5</vt:i4>
      </vt:variant>
      <vt:variant>
        <vt:lpwstr>https://www.gov.uk/government/news/government-launches-national-conversation-on-land-use</vt:lpwstr>
      </vt:variant>
      <vt:variant>
        <vt:lpwstr/>
      </vt:variant>
      <vt:variant>
        <vt:i4>917592</vt:i4>
      </vt:variant>
      <vt:variant>
        <vt:i4>312</vt:i4>
      </vt:variant>
      <vt:variant>
        <vt:i4>0</vt:i4>
      </vt:variant>
      <vt:variant>
        <vt:i4>5</vt:i4>
      </vt:variant>
      <vt:variant>
        <vt:lpwstr>https://www.legislation.gov.uk/ukpga/2023/55/part/3/chapter/2/crossheading/development-plans-and-national-policy</vt:lpwstr>
      </vt:variant>
      <vt:variant>
        <vt:lpwstr/>
      </vt:variant>
      <vt:variant>
        <vt:i4>3997754</vt:i4>
      </vt:variant>
      <vt:variant>
        <vt:i4>309</vt:i4>
      </vt:variant>
      <vt:variant>
        <vt:i4>0</vt:i4>
      </vt:variant>
      <vt:variant>
        <vt:i4>5</vt:i4>
      </vt:variant>
      <vt:variant>
        <vt:lpwstr>https://www.legislation.gov.uk/nia/2011/25/contents</vt:lpwstr>
      </vt:variant>
      <vt:variant>
        <vt:lpwstr/>
      </vt:variant>
      <vt:variant>
        <vt:i4>1507348</vt:i4>
      </vt:variant>
      <vt:variant>
        <vt:i4>306</vt:i4>
      </vt:variant>
      <vt:variant>
        <vt:i4>0</vt:i4>
      </vt:variant>
      <vt:variant>
        <vt:i4>5</vt:i4>
      </vt:variant>
      <vt:variant>
        <vt:lpwstr>https://www.infrastructure-ni.gov.uk/publications/strategic-planning-policy-statement</vt:lpwstr>
      </vt:variant>
      <vt:variant>
        <vt:lpwstr/>
      </vt:variant>
      <vt:variant>
        <vt:i4>851970</vt:i4>
      </vt:variant>
      <vt:variant>
        <vt:i4>303</vt:i4>
      </vt:variant>
      <vt:variant>
        <vt:i4>0</vt:i4>
      </vt:variant>
      <vt:variant>
        <vt:i4>5</vt:i4>
      </vt:variant>
      <vt:variant>
        <vt:lpwstr>https://law.gov.wales/sites/default/files/2024-06/Infrastructure %28Wales%29 Act 2024 English.pdf</vt:lpwstr>
      </vt:variant>
      <vt:variant>
        <vt:lpwstr/>
      </vt:variant>
      <vt:variant>
        <vt:i4>7995455</vt:i4>
      </vt:variant>
      <vt:variant>
        <vt:i4>300</vt:i4>
      </vt:variant>
      <vt:variant>
        <vt:i4>0</vt:i4>
      </vt:variant>
      <vt:variant>
        <vt:i4>5</vt:i4>
      </vt:variant>
      <vt:variant>
        <vt:lpwstr>https://business.senedd.wales/mgIssueHistoryHome.aspx?IId=41502</vt:lpwstr>
      </vt:variant>
      <vt:variant>
        <vt:lpwstr/>
      </vt:variant>
      <vt:variant>
        <vt:i4>7864417</vt:i4>
      </vt:variant>
      <vt:variant>
        <vt:i4>297</vt:i4>
      </vt:variant>
      <vt:variant>
        <vt:i4>0</vt:i4>
      </vt:variant>
      <vt:variant>
        <vt:i4>5</vt:i4>
      </vt:variant>
      <vt:variant>
        <vt:lpwstr>https://www.gov.wales/planning-policy-wales</vt:lpwstr>
      </vt:variant>
      <vt:variant>
        <vt:lpwstr/>
      </vt:variant>
      <vt:variant>
        <vt:i4>1179739</vt:i4>
      </vt:variant>
      <vt:variant>
        <vt:i4>294</vt:i4>
      </vt:variant>
      <vt:variant>
        <vt:i4>0</vt:i4>
      </vt:variant>
      <vt:variant>
        <vt:i4>5</vt:i4>
      </vt:variant>
      <vt:variant>
        <vt:lpwstr>https://www.gov.wales/future-wales-national-plan-2040</vt:lpwstr>
      </vt:variant>
      <vt:variant>
        <vt:lpwstr/>
      </vt:variant>
      <vt:variant>
        <vt:i4>1048662</vt:i4>
      </vt:variant>
      <vt:variant>
        <vt:i4>291</vt:i4>
      </vt:variant>
      <vt:variant>
        <vt:i4>0</vt:i4>
      </vt:variant>
      <vt:variant>
        <vt:i4>5</vt:i4>
      </vt:variant>
      <vt:variant>
        <vt:lpwstr>https://www.gov.wales/welsh-government-takes-action-accelerate-infrastructure-planning-decisions</vt:lpwstr>
      </vt:variant>
      <vt:variant>
        <vt:lpwstr/>
      </vt:variant>
      <vt:variant>
        <vt:i4>3670122</vt:i4>
      </vt:variant>
      <vt:variant>
        <vt:i4>288</vt:i4>
      </vt:variant>
      <vt:variant>
        <vt:i4>0</vt:i4>
      </vt:variant>
      <vt:variant>
        <vt:i4>5</vt:i4>
      </vt:variant>
      <vt:variant>
        <vt:lpwstr>https://bills.parliament.uk/bills/3946</vt:lpwstr>
      </vt:variant>
      <vt:variant>
        <vt:lpwstr/>
      </vt:variant>
      <vt:variant>
        <vt:i4>7471146</vt:i4>
      </vt:variant>
      <vt:variant>
        <vt:i4>285</vt:i4>
      </vt:variant>
      <vt:variant>
        <vt:i4>0</vt:i4>
      </vt:variant>
      <vt:variant>
        <vt:i4>5</vt:i4>
      </vt:variant>
      <vt:variant>
        <vt:lpwstr>https://www.gov.scot/binaries/content/documents/govscot/publications/strategy-plan/2020/10/sectoral-marine-plan-offshore-wind-energy/documents/sectoral-marine-plan-offshore-wind-energy/sectoral-marine-plan-offshore-wind-energy/govscot%3Adocument/sectoral-marine-plan-offshore-wind-energy.pdf</vt:lpwstr>
      </vt:variant>
      <vt:variant>
        <vt:lpwstr/>
      </vt:variant>
      <vt:variant>
        <vt:i4>2031618</vt:i4>
      </vt:variant>
      <vt:variant>
        <vt:i4>282</vt:i4>
      </vt:variant>
      <vt:variant>
        <vt:i4>0</vt:i4>
      </vt:variant>
      <vt:variant>
        <vt:i4>5</vt:i4>
      </vt:variant>
      <vt:variant>
        <vt:lpwstr>https://www.energyconsents.scot/</vt:lpwstr>
      </vt:variant>
      <vt:variant>
        <vt:lpwstr/>
      </vt:variant>
      <vt:variant>
        <vt:i4>2031618</vt:i4>
      </vt:variant>
      <vt:variant>
        <vt:i4>279</vt:i4>
      </vt:variant>
      <vt:variant>
        <vt:i4>0</vt:i4>
      </vt:variant>
      <vt:variant>
        <vt:i4>5</vt:i4>
      </vt:variant>
      <vt:variant>
        <vt:lpwstr>https://www.energyconsents.scot/</vt:lpwstr>
      </vt:variant>
      <vt:variant>
        <vt:lpwstr/>
      </vt:variant>
      <vt:variant>
        <vt:i4>7209004</vt:i4>
      </vt:variant>
      <vt:variant>
        <vt:i4>276</vt:i4>
      </vt:variant>
      <vt:variant>
        <vt:i4>0</vt:i4>
      </vt:variant>
      <vt:variant>
        <vt:i4>5</vt:i4>
      </vt:variant>
      <vt:variant>
        <vt:lpwstr>https://www.legislation.gov.uk/ukdsi/2025/9780348269765</vt:lpwstr>
      </vt:variant>
      <vt:variant>
        <vt:lpwstr/>
      </vt:variant>
      <vt:variant>
        <vt:i4>4390943</vt:i4>
      </vt:variant>
      <vt:variant>
        <vt:i4>273</vt:i4>
      </vt:variant>
      <vt:variant>
        <vt:i4>0</vt:i4>
      </vt:variant>
      <vt:variant>
        <vt:i4>5</vt:i4>
      </vt:variant>
      <vt:variant>
        <vt:lpwstr>https://www.gov.uk/government/publications/national-policy-statement-for-electricity-networks-infrastructure-en-5/national-policy-statement-for-electricity-networks-infrastructure-en-5</vt:lpwstr>
      </vt:variant>
      <vt:variant>
        <vt:lpwstr/>
      </vt:variant>
      <vt:variant>
        <vt:i4>3670122</vt:i4>
      </vt:variant>
      <vt:variant>
        <vt:i4>270</vt:i4>
      </vt:variant>
      <vt:variant>
        <vt:i4>0</vt:i4>
      </vt:variant>
      <vt:variant>
        <vt:i4>5</vt:i4>
      </vt:variant>
      <vt:variant>
        <vt:lpwstr>https://bills.parliament.uk/bills/3946</vt:lpwstr>
      </vt:variant>
      <vt:variant>
        <vt:lpwstr/>
      </vt:variant>
      <vt:variant>
        <vt:i4>7667809</vt:i4>
      </vt:variant>
      <vt:variant>
        <vt:i4>267</vt:i4>
      </vt:variant>
      <vt:variant>
        <vt:i4>0</vt:i4>
      </vt:variant>
      <vt:variant>
        <vt:i4>5</vt:i4>
      </vt:variant>
      <vt:variant>
        <vt:lpwstr>https://www.gov.uk/government/consultations/planning-for-new-energy-infrastructure-2025-revisions-to-national-policy-statements</vt:lpwstr>
      </vt:variant>
      <vt:variant>
        <vt:lpwstr/>
      </vt:variant>
      <vt:variant>
        <vt:i4>6160468</vt:i4>
      </vt:variant>
      <vt:variant>
        <vt:i4>264</vt:i4>
      </vt:variant>
      <vt:variant>
        <vt:i4>0</vt:i4>
      </vt:variant>
      <vt:variant>
        <vt:i4>5</vt:i4>
      </vt:variant>
      <vt:variant>
        <vt:lpwstr>https://www.gov.uk/government/collections/national-policy-statements-for-energy-infrastructure</vt:lpwstr>
      </vt:variant>
      <vt:variant>
        <vt:lpwstr>full-publication-update-history</vt:lpwstr>
      </vt:variant>
      <vt:variant>
        <vt:i4>7995508</vt:i4>
      </vt:variant>
      <vt:variant>
        <vt:i4>261</vt:i4>
      </vt:variant>
      <vt:variant>
        <vt:i4>0</vt:i4>
      </vt:variant>
      <vt:variant>
        <vt:i4>5</vt:i4>
      </vt:variant>
      <vt:variant>
        <vt:lpwstr>https://www.economy-ni.gov.uk/publications/energy-strategy-path-net-zero-energy</vt:lpwstr>
      </vt:variant>
      <vt:variant>
        <vt:lpwstr/>
      </vt:variant>
      <vt:variant>
        <vt:i4>7012468</vt:i4>
      </vt:variant>
      <vt:variant>
        <vt:i4>258</vt:i4>
      </vt:variant>
      <vt:variant>
        <vt:i4>0</vt:i4>
      </vt:variant>
      <vt:variant>
        <vt:i4>5</vt:i4>
      </vt:variant>
      <vt:variant>
        <vt:lpwstr>https://www.gov.wales/wales-aims-meet-100-its-electricity-needs-renewable-sources-2035</vt:lpwstr>
      </vt:variant>
      <vt:variant>
        <vt:lpwstr/>
      </vt:variant>
      <vt:variant>
        <vt:i4>3670069</vt:i4>
      </vt:variant>
      <vt:variant>
        <vt:i4>255</vt:i4>
      </vt:variant>
      <vt:variant>
        <vt:i4>0</vt:i4>
      </vt:variant>
      <vt:variant>
        <vt:i4>5</vt:i4>
      </vt:variant>
      <vt:variant>
        <vt:lpwstr>https://www.gov.wales/sites/default/files/publications/2019-07/energy-wales-a-low-carbon-transition.pdf</vt:lpwstr>
      </vt:variant>
      <vt:variant>
        <vt:lpwstr/>
      </vt:variant>
      <vt:variant>
        <vt:i4>196624</vt:i4>
      </vt:variant>
      <vt:variant>
        <vt:i4>252</vt:i4>
      </vt:variant>
      <vt:variant>
        <vt:i4>0</vt:i4>
      </vt:variant>
      <vt:variant>
        <vt:i4>5</vt:i4>
      </vt:variant>
      <vt:variant>
        <vt:lpwstr>https://www.gov.scot/publications/draft-energy-strategy-transition-plan/</vt:lpwstr>
      </vt:variant>
      <vt:variant>
        <vt:lpwstr/>
      </vt:variant>
      <vt:variant>
        <vt:i4>262163</vt:i4>
      </vt:variant>
      <vt:variant>
        <vt:i4>249</vt:i4>
      </vt:variant>
      <vt:variant>
        <vt:i4>0</vt:i4>
      </vt:variant>
      <vt:variant>
        <vt:i4>5</vt:i4>
      </vt:variant>
      <vt:variant>
        <vt:lpwstr>https://www.neso.energy/publications/clean-power-2030</vt:lpwstr>
      </vt:variant>
      <vt:variant>
        <vt:lpwstr/>
      </vt:variant>
      <vt:variant>
        <vt:i4>1966131</vt:i4>
      </vt:variant>
      <vt:variant>
        <vt:i4>242</vt:i4>
      </vt:variant>
      <vt:variant>
        <vt:i4>0</vt:i4>
      </vt:variant>
      <vt:variant>
        <vt:i4>5</vt:i4>
      </vt:variant>
      <vt:variant>
        <vt:lpwstr/>
      </vt:variant>
      <vt:variant>
        <vt:lpwstr>_Toc197969307</vt:lpwstr>
      </vt:variant>
      <vt:variant>
        <vt:i4>1966131</vt:i4>
      </vt:variant>
      <vt:variant>
        <vt:i4>236</vt:i4>
      </vt:variant>
      <vt:variant>
        <vt:i4>0</vt:i4>
      </vt:variant>
      <vt:variant>
        <vt:i4>5</vt:i4>
      </vt:variant>
      <vt:variant>
        <vt:lpwstr/>
      </vt:variant>
      <vt:variant>
        <vt:lpwstr>_Toc197969306</vt:lpwstr>
      </vt:variant>
      <vt:variant>
        <vt:i4>1966131</vt:i4>
      </vt:variant>
      <vt:variant>
        <vt:i4>230</vt:i4>
      </vt:variant>
      <vt:variant>
        <vt:i4>0</vt:i4>
      </vt:variant>
      <vt:variant>
        <vt:i4>5</vt:i4>
      </vt:variant>
      <vt:variant>
        <vt:lpwstr/>
      </vt:variant>
      <vt:variant>
        <vt:lpwstr>_Toc197969305</vt:lpwstr>
      </vt:variant>
      <vt:variant>
        <vt:i4>1966131</vt:i4>
      </vt:variant>
      <vt:variant>
        <vt:i4>224</vt:i4>
      </vt:variant>
      <vt:variant>
        <vt:i4>0</vt:i4>
      </vt:variant>
      <vt:variant>
        <vt:i4>5</vt:i4>
      </vt:variant>
      <vt:variant>
        <vt:lpwstr/>
      </vt:variant>
      <vt:variant>
        <vt:lpwstr>_Toc197969304</vt:lpwstr>
      </vt:variant>
      <vt:variant>
        <vt:i4>1966131</vt:i4>
      </vt:variant>
      <vt:variant>
        <vt:i4>218</vt:i4>
      </vt:variant>
      <vt:variant>
        <vt:i4>0</vt:i4>
      </vt:variant>
      <vt:variant>
        <vt:i4>5</vt:i4>
      </vt:variant>
      <vt:variant>
        <vt:lpwstr/>
      </vt:variant>
      <vt:variant>
        <vt:lpwstr>_Toc197969303</vt:lpwstr>
      </vt:variant>
      <vt:variant>
        <vt:i4>1966131</vt:i4>
      </vt:variant>
      <vt:variant>
        <vt:i4>212</vt:i4>
      </vt:variant>
      <vt:variant>
        <vt:i4>0</vt:i4>
      </vt:variant>
      <vt:variant>
        <vt:i4>5</vt:i4>
      </vt:variant>
      <vt:variant>
        <vt:lpwstr/>
      </vt:variant>
      <vt:variant>
        <vt:lpwstr>_Toc197969302</vt:lpwstr>
      </vt:variant>
      <vt:variant>
        <vt:i4>1966131</vt:i4>
      </vt:variant>
      <vt:variant>
        <vt:i4>206</vt:i4>
      </vt:variant>
      <vt:variant>
        <vt:i4>0</vt:i4>
      </vt:variant>
      <vt:variant>
        <vt:i4>5</vt:i4>
      </vt:variant>
      <vt:variant>
        <vt:lpwstr/>
      </vt:variant>
      <vt:variant>
        <vt:lpwstr>_Toc197969301</vt:lpwstr>
      </vt:variant>
      <vt:variant>
        <vt:i4>1966131</vt:i4>
      </vt:variant>
      <vt:variant>
        <vt:i4>200</vt:i4>
      </vt:variant>
      <vt:variant>
        <vt:i4>0</vt:i4>
      </vt:variant>
      <vt:variant>
        <vt:i4>5</vt:i4>
      </vt:variant>
      <vt:variant>
        <vt:lpwstr/>
      </vt:variant>
      <vt:variant>
        <vt:lpwstr>_Toc197969300</vt:lpwstr>
      </vt:variant>
      <vt:variant>
        <vt:i4>1507378</vt:i4>
      </vt:variant>
      <vt:variant>
        <vt:i4>194</vt:i4>
      </vt:variant>
      <vt:variant>
        <vt:i4>0</vt:i4>
      </vt:variant>
      <vt:variant>
        <vt:i4>5</vt:i4>
      </vt:variant>
      <vt:variant>
        <vt:lpwstr/>
      </vt:variant>
      <vt:variant>
        <vt:lpwstr>_Toc197969299</vt:lpwstr>
      </vt:variant>
      <vt:variant>
        <vt:i4>1507378</vt:i4>
      </vt:variant>
      <vt:variant>
        <vt:i4>188</vt:i4>
      </vt:variant>
      <vt:variant>
        <vt:i4>0</vt:i4>
      </vt:variant>
      <vt:variant>
        <vt:i4>5</vt:i4>
      </vt:variant>
      <vt:variant>
        <vt:lpwstr/>
      </vt:variant>
      <vt:variant>
        <vt:lpwstr>_Toc197969298</vt:lpwstr>
      </vt:variant>
      <vt:variant>
        <vt:i4>1507378</vt:i4>
      </vt:variant>
      <vt:variant>
        <vt:i4>182</vt:i4>
      </vt:variant>
      <vt:variant>
        <vt:i4>0</vt:i4>
      </vt:variant>
      <vt:variant>
        <vt:i4>5</vt:i4>
      </vt:variant>
      <vt:variant>
        <vt:lpwstr/>
      </vt:variant>
      <vt:variant>
        <vt:lpwstr>_Toc197969297</vt:lpwstr>
      </vt:variant>
      <vt:variant>
        <vt:i4>1507378</vt:i4>
      </vt:variant>
      <vt:variant>
        <vt:i4>176</vt:i4>
      </vt:variant>
      <vt:variant>
        <vt:i4>0</vt:i4>
      </vt:variant>
      <vt:variant>
        <vt:i4>5</vt:i4>
      </vt:variant>
      <vt:variant>
        <vt:lpwstr/>
      </vt:variant>
      <vt:variant>
        <vt:lpwstr>_Toc197969296</vt:lpwstr>
      </vt:variant>
      <vt:variant>
        <vt:i4>1507378</vt:i4>
      </vt:variant>
      <vt:variant>
        <vt:i4>170</vt:i4>
      </vt:variant>
      <vt:variant>
        <vt:i4>0</vt:i4>
      </vt:variant>
      <vt:variant>
        <vt:i4>5</vt:i4>
      </vt:variant>
      <vt:variant>
        <vt:lpwstr/>
      </vt:variant>
      <vt:variant>
        <vt:lpwstr>_Toc197969295</vt:lpwstr>
      </vt:variant>
      <vt:variant>
        <vt:i4>1507378</vt:i4>
      </vt:variant>
      <vt:variant>
        <vt:i4>164</vt:i4>
      </vt:variant>
      <vt:variant>
        <vt:i4>0</vt:i4>
      </vt:variant>
      <vt:variant>
        <vt:i4>5</vt:i4>
      </vt:variant>
      <vt:variant>
        <vt:lpwstr/>
      </vt:variant>
      <vt:variant>
        <vt:lpwstr>_Toc197969294</vt:lpwstr>
      </vt:variant>
      <vt:variant>
        <vt:i4>1507378</vt:i4>
      </vt:variant>
      <vt:variant>
        <vt:i4>158</vt:i4>
      </vt:variant>
      <vt:variant>
        <vt:i4>0</vt:i4>
      </vt:variant>
      <vt:variant>
        <vt:i4>5</vt:i4>
      </vt:variant>
      <vt:variant>
        <vt:lpwstr/>
      </vt:variant>
      <vt:variant>
        <vt:lpwstr>_Toc197969293</vt:lpwstr>
      </vt:variant>
      <vt:variant>
        <vt:i4>1507378</vt:i4>
      </vt:variant>
      <vt:variant>
        <vt:i4>152</vt:i4>
      </vt:variant>
      <vt:variant>
        <vt:i4>0</vt:i4>
      </vt:variant>
      <vt:variant>
        <vt:i4>5</vt:i4>
      </vt:variant>
      <vt:variant>
        <vt:lpwstr/>
      </vt:variant>
      <vt:variant>
        <vt:lpwstr>_Toc197969292</vt:lpwstr>
      </vt:variant>
      <vt:variant>
        <vt:i4>1507378</vt:i4>
      </vt:variant>
      <vt:variant>
        <vt:i4>146</vt:i4>
      </vt:variant>
      <vt:variant>
        <vt:i4>0</vt:i4>
      </vt:variant>
      <vt:variant>
        <vt:i4>5</vt:i4>
      </vt:variant>
      <vt:variant>
        <vt:lpwstr/>
      </vt:variant>
      <vt:variant>
        <vt:lpwstr>_Toc197969291</vt:lpwstr>
      </vt:variant>
      <vt:variant>
        <vt:i4>1507378</vt:i4>
      </vt:variant>
      <vt:variant>
        <vt:i4>140</vt:i4>
      </vt:variant>
      <vt:variant>
        <vt:i4>0</vt:i4>
      </vt:variant>
      <vt:variant>
        <vt:i4>5</vt:i4>
      </vt:variant>
      <vt:variant>
        <vt:lpwstr/>
      </vt:variant>
      <vt:variant>
        <vt:lpwstr>_Toc197969290</vt:lpwstr>
      </vt:variant>
      <vt:variant>
        <vt:i4>1441842</vt:i4>
      </vt:variant>
      <vt:variant>
        <vt:i4>134</vt:i4>
      </vt:variant>
      <vt:variant>
        <vt:i4>0</vt:i4>
      </vt:variant>
      <vt:variant>
        <vt:i4>5</vt:i4>
      </vt:variant>
      <vt:variant>
        <vt:lpwstr/>
      </vt:variant>
      <vt:variant>
        <vt:lpwstr>_Toc197969289</vt:lpwstr>
      </vt:variant>
      <vt:variant>
        <vt:i4>1441842</vt:i4>
      </vt:variant>
      <vt:variant>
        <vt:i4>128</vt:i4>
      </vt:variant>
      <vt:variant>
        <vt:i4>0</vt:i4>
      </vt:variant>
      <vt:variant>
        <vt:i4>5</vt:i4>
      </vt:variant>
      <vt:variant>
        <vt:lpwstr/>
      </vt:variant>
      <vt:variant>
        <vt:lpwstr>_Toc197969288</vt:lpwstr>
      </vt:variant>
      <vt:variant>
        <vt:i4>1441842</vt:i4>
      </vt:variant>
      <vt:variant>
        <vt:i4>122</vt:i4>
      </vt:variant>
      <vt:variant>
        <vt:i4>0</vt:i4>
      </vt:variant>
      <vt:variant>
        <vt:i4>5</vt:i4>
      </vt:variant>
      <vt:variant>
        <vt:lpwstr/>
      </vt:variant>
      <vt:variant>
        <vt:lpwstr>_Toc197969287</vt:lpwstr>
      </vt:variant>
      <vt:variant>
        <vt:i4>1441842</vt:i4>
      </vt:variant>
      <vt:variant>
        <vt:i4>116</vt:i4>
      </vt:variant>
      <vt:variant>
        <vt:i4>0</vt:i4>
      </vt:variant>
      <vt:variant>
        <vt:i4>5</vt:i4>
      </vt:variant>
      <vt:variant>
        <vt:lpwstr/>
      </vt:variant>
      <vt:variant>
        <vt:lpwstr>_Toc197969286</vt:lpwstr>
      </vt:variant>
      <vt:variant>
        <vt:i4>1441842</vt:i4>
      </vt:variant>
      <vt:variant>
        <vt:i4>110</vt:i4>
      </vt:variant>
      <vt:variant>
        <vt:i4>0</vt:i4>
      </vt:variant>
      <vt:variant>
        <vt:i4>5</vt:i4>
      </vt:variant>
      <vt:variant>
        <vt:lpwstr/>
      </vt:variant>
      <vt:variant>
        <vt:lpwstr>_Toc197969285</vt:lpwstr>
      </vt:variant>
      <vt:variant>
        <vt:i4>1441842</vt:i4>
      </vt:variant>
      <vt:variant>
        <vt:i4>104</vt:i4>
      </vt:variant>
      <vt:variant>
        <vt:i4>0</vt:i4>
      </vt:variant>
      <vt:variant>
        <vt:i4>5</vt:i4>
      </vt:variant>
      <vt:variant>
        <vt:lpwstr/>
      </vt:variant>
      <vt:variant>
        <vt:lpwstr>_Toc197969284</vt:lpwstr>
      </vt:variant>
      <vt:variant>
        <vt:i4>1441842</vt:i4>
      </vt:variant>
      <vt:variant>
        <vt:i4>98</vt:i4>
      </vt:variant>
      <vt:variant>
        <vt:i4>0</vt:i4>
      </vt:variant>
      <vt:variant>
        <vt:i4>5</vt:i4>
      </vt:variant>
      <vt:variant>
        <vt:lpwstr/>
      </vt:variant>
      <vt:variant>
        <vt:lpwstr>_Toc197969283</vt:lpwstr>
      </vt:variant>
      <vt:variant>
        <vt:i4>1441842</vt:i4>
      </vt:variant>
      <vt:variant>
        <vt:i4>92</vt:i4>
      </vt:variant>
      <vt:variant>
        <vt:i4>0</vt:i4>
      </vt:variant>
      <vt:variant>
        <vt:i4>5</vt:i4>
      </vt:variant>
      <vt:variant>
        <vt:lpwstr/>
      </vt:variant>
      <vt:variant>
        <vt:lpwstr>_Toc197969282</vt:lpwstr>
      </vt:variant>
      <vt:variant>
        <vt:i4>1441842</vt:i4>
      </vt:variant>
      <vt:variant>
        <vt:i4>86</vt:i4>
      </vt:variant>
      <vt:variant>
        <vt:i4>0</vt:i4>
      </vt:variant>
      <vt:variant>
        <vt:i4>5</vt:i4>
      </vt:variant>
      <vt:variant>
        <vt:lpwstr/>
      </vt:variant>
      <vt:variant>
        <vt:lpwstr>_Toc197969281</vt:lpwstr>
      </vt:variant>
      <vt:variant>
        <vt:i4>1441842</vt:i4>
      </vt:variant>
      <vt:variant>
        <vt:i4>80</vt:i4>
      </vt:variant>
      <vt:variant>
        <vt:i4>0</vt:i4>
      </vt:variant>
      <vt:variant>
        <vt:i4>5</vt:i4>
      </vt:variant>
      <vt:variant>
        <vt:lpwstr/>
      </vt:variant>
      <vt:variant>
        <vt:lpwstr>_Toc197969280</vt:lpwstr>
      </vt:variant>
      <vt:variant>
        <vt:i4>1638450</vt:i4>
      </vt:variant>
      <vt:variant>
        <vt:i4>74</vt:i4>
      </vt:variant>
      <vt:variant>
        <vt:i4>0</vt:i4>
      </vt:variant>
      <vt:variant>
        <vt:i4>5</vt:i4>
      </vt:variant>
      <vt:variant>
        <vt:lpwstr/>
      </vt:variant>
      <vt:variant>
        <vt:lpwstr>_Toc197969279</vt:lpwstr>
      </vt:variant>
      <vt:variant>
        <vt:i4>1638450</vt:i4>
      </vt:variant>
      <vt:variant>
        <vt:i4>68</vt:i4>
      </vt:variant>
      <vt:variant>
        <vt:i4>0</vt:i4>
      </vt:variant>
      <vt:variant>
        <vt:i4>5</vt:i4>
      </vt:variant>
      <vt:variant>
        <vt:lpwstr/>
      </vt:variant>
      <vt:variant>
        <vt:lpwstr>_Toc197969278</vt:lpwstr>
      </vt:variant>
      <vt:variant>
        <vt:i4>1638450</vt:i4>
      </vt:variant>
      <vt:variant>
        <vt:i4>62</vt:i4>
      </vt:variant>
      <vt:variant>
        <vt:i4>0</vt:i4>
      </vt:variant>
      <vt:variant>
        <vt:i4>5</vt:i4>
      </vt:variant>
      <vt:variant>
        <vt:lpwstr/>
      </vt:variant>
      <vt:variant>
        <vt:lpwstr>_Toc197969277</vt:lpwstr>
      </vt:variant>
      <vt:variant>
        <vt:i4>1638450</vt:i4>
      </vt:variant>
      <vt:variant>
        <vt:i4>56</vt:i4>
      </vt:variant>
      <vt:variant>
        <vt:i4>0</vt:i4>
      </vt:variant>
      <vt:variant>
        <vt:i4>5</vt:i4>
      </vt:variant>
      <vt:variant>
        <vt:lpwstr/>
      </vt:variant>
      <vt:variant>
        <vt:lpwstr>_Toc197969276</vt:lpwstr>
      </vt:variant>
      <vt:variant>
        <vt:i4>1638450</vt:i4>
      </vt:variant>
      <vt:variant>
        <vt:i4>50</vt:i4>
      </vt:variant>
      <vt:variant>
        <vt:i4>0</vt:i4>
      </vt:variant>
      <vt:variant>
        <vt:i4>5</vt:i4>
      </vt:variant>
      <vt:variant>
        <vt:lpwstr/>
      </vt:variant>
      <vt:variant>
        <vt:lpwstr>_Toc197969275</vt:lpwstr>
      </vt:variant>
      <vt:variant>
        <vt:i4>1638450</vt:i4>
      </vt:variant>
      <vt:variant>
        <vt:i4>44</vt:i4>
      </vt:variant>
      <vt:variant>
        <vt:i4>0</vt:i4>
      </vt:variant>
      <vt:variant>
        <vt:i4>5</vt:i4>
      </vt:variant>
      <vt:variant>
        <vt:lpwstr/>
      </vt:variant>
      <vt:variant>
        <vt:lpwstr>_Toc197969274</vt:lpwstr>
      </vt:variant>
      <vt:variant>
        <vt:i4>1638450</vt:i4>
      </vt:variant>
      <vt:variant>
        <vt:i4>38</vt:i4>
      </vt:variant>
      <vt:variant>
        <vt:i4>0</vt:i4>
      </vt:variant>
      <vt:variant>
        <vt:i4>5</vt:i4>
      </vt:variant>
      <vt:variant>
        <vt:lpwstr/>
      </vt:variant>
      <vt:variant>
        <vt:lpwstr>_Toc197969273</vt:lpwstr>
      </vt:variant>
      <vt:variant>
        <vt:i4>1638450</vt:i4>
      </vt:variant>
      <vt:variant>
        <vt:i4>32</vt:i4>
      </vt:variant>
      <vt:variant>
        <vt:i4>0</vt:i4>
      </vt:variant>
      <vt:variant>
        <vt:i4>5</vt:i4>
      </vt:variant>
      <vt:variant>
        <vt:lpwstr/>
      </vt:variant>
      <vt:variant>
        <vt:lpwstr>_Toc197969272</vt:lpwstr>
      </vt:variant>
      <vt:variant>
        <vt:i4>1638450</vt:i4>
      </vt:variant>
      <vt:variant>
        <vt:i4>26</vt:i4>
      </vt:variant>
      <vt:variant>
        <vt:i4>0</vt:i4>
      </vt:variant>
      <vt:variant>
        <vt:i4>5</vt:i4>
      </vt:variant>
      <vt:variant>
        <vt:lpwstr/>
      </vt:variant>
      <vt:variant>
        <vt:lpwstr>_Toc197969271</vt:lpwstr>
      </vt:variant>
      <vt:variant>
        <vt:i4>1638450</vt:i4>
      </vt:variant>
      <vt:variant>
        <vt:i4>20</vt:i4>
      </vt:variant>
      <vt:variant>
        <vt:i4>0</vt:i4>
      </vt:variant>
      <vt:variant>
        <vt:i4>5</vt:i4>
      </vt:variant>
      <vt:variant>
        <vt:lpwstr/>
      </vt:variant>
      <vt:variant>
        <vt:lpwstr>_Toc197969270</vt:lpwstr>
      </vt:variant>
      <vt:variant>
        <vt:i4>1572914</vt:i4>
      </vt:variant>
      <vt:variant>
        <vt:i4>14</vt:i4>
      </vt:variant>
      <vt:variant>
        <vt:i4>0</vt:i4>
      </vt:variant>
      <vt:variant>
        <vt:i4>5</vt:i4>
      </vt:variant>
      <vt:variant>
        <vt:lpwstr/>
      </vt:variant>
      <vt:variant>
        <vt:lpwstr>_Toc197969269</vt:lpwstr>
      </vt:variant>
      <vt:variant>
        <vt:i4>1572914</vt:i4>
      </vt:variant>
      <vt:variant>
        <vt:i4>8</vt:i4>
      </vt:variant>
      <vt:variant>
        <vt:i4>0</vt:i4>
      </vt:variant>
      <vt:variant>
        <vt:i4>5</vt:i4>
      </vt:variant>
      <vt:variant>
        <vt:lpwstr/>
      </vt:variant>
      <vt:variant>
        <vt:lpwstr>_Toc197969268</vt:lpwstr>
      </vt:variant>
      <vt:variant>
        <vt:i4>1572914</vt:i4>
      </vt:variant>
      <vt:variant>
        <vt:i4>2</vt:i4>
      </vt:variant>
      <vt:variant>
        <vt:i4>0</vt:i4>
      </vt:variant>
      <vt:variant>
        <vt:i4>5</vt:i4>
      </vt:variant>
      <vt:variant>
        <vt:lpwstr/>
      </vt:variant>
      <vt:variant>
        <vt:lpwstr>_Toc197969267</vt:lpwstr>
      </vt:variant>
      <vt:variant>
        <vt:i4>7602267</vt:i4>
      </vt:variant>
      <vt:variant>
        <vt:i4>6</vt:i4>
      </vt:variant>
      <vt:variant>
        <vt:i4>0</vt:i4>
      </vt:variant>
      <vt:variant>
        <vt:i4>5</vt:i4>
      </vt:variant>
      <vt:variant>
        <vt:lpwstr>mailto:Joanna.Drennan@rtpi.org.uk</vt:lpwstr>
      </vt:variant>
      <vt:variant>
        <vt:lpwstr/>
      </vt:variant>
      <vt:variant>
        <vt:i4>7602267</vt:i4>
      </vt:variant>
      <vt:variant>
        <vt:i4>3</vt:i4>
      </vt:variant>
      <vt:variant>
        <vt:i4>0</vt:i4>
      </vt:variant>
      <vt:variant>
        <vt:i4>5</vt:i4>
      </vt:variant>
      <vt:variant>
        <vt:lpwstr>mailto:Joanna.Drennan@rtpi.org.uk</vt:lpwstr>
      </vt:variant>
      <vt:variant>
        <vt:lpwstr/>
      </vt:variant>
      <vt:variant>
        <vt:i4>7667809</vt:i4>
      </vt:variant>
      <vt:variant>
        <vt:i4>0</vt:i4>
      </vt:variant>
      <vt:variant>
        <vt:i4>0</vt:i4>
      </vt:variant>
      <vt:variant>
        <vt:i4>5</vt:i4>
      </vt:variant>
      <vt:variant>
        <vt:lpwstr>https://www.gov.uk/government/consultations/planning-for-new-energy-infrastructure-2025-revisions-to-national-policy-statements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Slade</dc:creator>
  <cp:keywords/>
  <dc:description/>
  <cp:lastModifiedBy>Andrew Pilkington</cp:lastModifiedBy>
  <cp:revision>4</cp:revision>
  <dcterms:created xsi:type="dcterms:W3CDTF">2025-05-27T07:57:00Z</dcterms:created>
  <dcterms:modified xsi:type="dcterms:W3CDTF">2025-05-27T07:59:00Z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