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0354" w14:textId="77777777" w:rsidR="00A40452" w:rsidRDefault="00A40452" w:rsidP="005747A7">
      <w:pPr>
        <w:spacing w:line="276" w:lineRule="auto"/>
        <w:ind w:left="133"/>
        <w:jc w:val="center"/>
        <w:rPr>
          <w:b/>
          <w:bCs/>
          <w:color w:val="509CC5"/>
        </w:rPr>
      </w:pPr>
    </w:p>
    <w:p w14:paraId="7589E791" w14:textId="77777777" w:rsidR="00315775" w:rsidRDefault="00315775" w:rsidP="005747A7">
      <w:pPr>
        <w:spacing w:line="276" w:lineRule="auto"/>
        <w:ind w:left="133"/>
        <w:jc w:val="center"/>
        <w:rPr>
          <w:b/>
          <w:bCs/>
          <w:color w:val="509CC5"/>
        </w:rPr>
      </w:pPr>
    </w:p>
    <w:p w14:paraId="33692CC3" w14:textId="14E52048" w:rsidR="005747A7" w:rsidRDefault="005747A7" w:rsidP="005747A7">
      <w:pPr>
        <w:spacing w:line="276" w:lineRule="auto"/>
        <w:ind w:left="133"/>
        <w:jc w:val="center"/>
        <w:rPr>
          <w:b/>
          <w:bCs/>
        </w:rPr>
      </w:pPr>
      <w:r w:rsidRPr="331C55F2">
        <w:rPr>
          <w:b/>
          <w:bCs/>
          <w:color w:val="509CC5"/>
        </w:rPr>
        <w:t>MEMBERSHIP &amp; ETHICS COMMITTEE</w:t>
      </w:r>
    </w:p>
    <w:p w14:paraId="64E70862" w14:textId="77777777" w:rsidR="005747A7" w:rsidRDefault="005747A7" w:rsidP="005747A7">
      <w:pPr>
        <w:pStyle w:val="BodyText"/>
        <w:spacing w:line="276" w:lineRule="auto"/>
        <w:ind w:right="220"/>
        <w:rPr>
          <w:b/>
          <w:bCs/>
        </w:rPr>
      </w:pPr>
    </w:p>
    <w:p w14:paraId="0E3985C0" w14:textId="1743B40D" w:rsidR="005747A7" w:rsidRPr="00192344" w:rsidRDefault="00AE1E65" w:rsidP="005747A7">
      <w:pPr>
        <w:pStyle w:val="BodyText"/>
        <w:spacing w:line="276" w:lineRule="auto"/>
        <w:ind w:left="133" w:right="220"/>
      </w:pPr>
      <w:r>
        <w:rPr>
          <w:b/>
        </w:rPr>
        <w:t>NON-</w:t>
      </w:r>
      <w:r w:rsidR="005747A7">
        <w:rPr>
          <w:b/>
        </w:rPr>
        <w:t xml:space="preserve">CONFIDENTIAL </w:t>
      </w:r>
      <w:r w:rsidR="005747A7">
        <w:t xml:space="preserve">MINUTES of the Membership &amp; Ethics Committee Meeting on </w:t>
      </w:r>
      <w:r w:rsidR="00B92352">
        <w:t>19 September</w:t>
      </w:r>
      <w:r w:rsidR="003D6CBB">
        <w:t xml:space="preserve"> </w:t>
      </w:r>
      <w:r w:rsidR="005747A7">
        <w:t>2023 via Microsoft Teams.</w:t>
      </w:r>
    </w:p>
    <w:p w14:paraId="4FCCCAAD" w14:textId="77777777" w:rsidR="005747A7" w:rsidRDefault="005747A7" w:rsidP="005747A7">
      <w:pPr>
        <w:pStyle w:val="BodyText"/>
        <w:spacing w:line="276" w:lineRule="auto"/>
      </w:pPr>
    </w:p>
    <w:p w14:paraId="15C64377" w14:textId="77777777" w:rsidR="003C2F85" w:rsidRDefault="003C2F85" w:rsidP="003C2F85">
      <w:pPr>
        <w:pStyle w:val="BodyText"/>
        <w:spacing w:line="276" w:lineRule="auto"/>
        <w:ind w:left="133" w:right="220"/>
      </w:pPr>
      <w:r w:rsidRPr="006F13D4">
        <w:rPr>
          <w:b/>
          <w:bCs/>
        </w:rPr>
        <w:t>PRESENT:</w:t>
      </w:r>
      <w:r>
        <w:t xml:space="preserve"> </w:t>
      </w:r>
      <w:r w:rsidRPr="00646CC0">
        <w:t>Nick Baker (Chair)</w:t>
      </w:r>
      <w:r>
        <w:t>, Jeffrey Ng (V</w:t>
      </w:r>
      <w:r w:rsidRPr="00646CC0">
        <w:t>ice Chair)</w:t>
      </w:r>
      <w:r>
        <w:t xml:space="preserve">, Ashley Baldwin, Paul Leeming, Sarah Henderson, James Wickham, Lucy Seymour-Bowdery, </w:t>
      </w:r>
      <w:r w:rsidRPr="00646CC0">
        <w:t>Joanne Harding</w:t>
      </w:r>
      <w:r>
        <w:t xml:space="preserve">, </w:t>
      </w:r>
      <w:r w:rsidRPr="00CD22B6">
        <w:t>Kieron Hyams, Michell</w:t>
      </w:r>
      <w:r>
        <w:t>e</w:t>
      </w:r>
      <w:r w:rsidRPr="00CD22B6">
        <w:t xml:space="preserve"> Quan</w:t>
      </w:r>
      <w:r>
        <w:t>, Peter Geraghty, Lara Southam</w:t>
      </w:r>
    </w:p>
    <w:p w14:paraId="7216EC37" w14:textId="77777777" w:rsidR="003C2F85" w:rsidRDefault="003C2F85" w:rsidP="003C2F85">
      <w:pPr>
        <w:pStyle w:val="BodyText"/>
        <w:spacing w:line="276" w:lineRule="auto"/>
        <w:ind w:left="133" w:right="220"/>
      </w:pPr>
    </w:p>
    <w:p w14:paraId="7470FED3" w14:textId="77777777" w:rsidR="003C2F85" w:rsidRDefault="003C2F85" w:rsidP="003C2F85">
      <w:pPr>
        <w:pStyle w:val="BodyText"/>
        <w:spacing w:line="276" w:lineRule="auto"/>
        <w:ind w:left="133" w:right="283"/>
      </w:pPr>
      <w:r w:rsidRPr="003D6C3E">
        <w:rPr>
          <w:b/>
          <w:bCs/>
        </w:rPr>
        <w:t xml:space="preserve">IN </w:t>
      </w:r>
      <w:r>
        <w:rPr>
          <w:b/>
          <w:bCs/>
        </w:rPr>
        <w:t>A</w:t>
      </w:r>
      <w:r w:rsidRPr="003D6C3E">
        <w:rPr>
          <w:b/>
          <w:bCs/>
        </w:rPr>
        <w:t>TTENDANCE</w:t>
      </w:r>
      <w:r>
        <w:t xml:space="preserve">:  </w:t>
      </w:r>
      <w:r w:rsidRPr="006460F0">
        <w:t xml:space="preserve">Martine Koch (Head of Membership), Neil Pearce (Membership Assessment Manager), Rachel McLinn (Membership Engagement Manager), </w:t>
      </w:r>
      <w:r>
        <w:t xml:space="preserve">Beatrice Crabb (International Lead) (Item 8), </w:t>
      </w:r>
      <w:r w:rsidRPr="006460F0">
        <w:t>Andrew Close</w:t>
      </w:r>
      <w:r>
        <w:t xml:space="preserve"> (</w:t>
      </w:r>
      <w:r w:rsidRPr="00A7361F">
        <w:t>Director of Education &amp; Profession</w:t>
      </w:r>
      <w:r>
        <w:t>) (Items 10 and 11)</w:t>
      </w:r>
      <w:r w:rsidRPr="006460F0">
        <w:t>,</w:t>
      </w:r>
      <w:r>
        <w:t xml:space="preserve"> </w:t>
      </w:r>
      <w:r w:rsidRPr="006460F0">
        <w:t>Ruth Richards (Complaints Investigator)</w:t>
      </w:r>
      <w:r>
        <w:t xml:space="preserve"> (Item 13), Sakinah Sutherland-Jones (Governance Officer)</w:t>
      </w:r>
    </w:p>
    <w:p w14:paraId="2DECE6CE" w14:textId="77777777" w:rsidR="003C2F85" w:rsidRDefault="003C2F85" w:rsidP="003C2F85">
      <w:pPr>
        <w:pStyle w:val="BodyText"/>
        <w:spacing w:line="276" w:lineRule="auto"/>
        <w:ind w:left="133" w:right="631"/>
      </w:pPr>
    </w:p>
    <w:p w14:paraId="745F33F1" w14:textId="77777777" w:rsidR="003C2F85" w:rsidRDefault="003C2F85" w:rsidP="003C2F85">
      <w:pPr>
        <w:pStyle w:val="BodyText"/>
        <w:spacing w:line="276" w:lineRule="auto"/>
        <w:ind w:left="133" w:right="631"/>
      </w:pPr>
      <w:r w:rsidRPr="331C55F2">
        <w:rPr>
          <w:b/>
          <w:bCs/>
        </w:rPr>
        <w:t>APOLOGIES</w:t>
      </w:r>
      <w:r>
        <w:t>: Alison Blom-Cooper, David Lowin, Lauren Whitworth</w:t>
      </w:r>
    </w:p>
    <w:p w14:paraId="084072FC" w14:textId="0DFE59BA" w:rsidR="00BC1750" w:rsidRDefault="003F4F61">
      <w:r>
        <w:t>#</w:t>
      </w:r>
    </w:p>
    <w:tbl>
      <w:tblPr>
        <w:tblStyle w:val="TableGrid"/>
        <w:tblW w:w="10461" w:type="dxa"/>
        <w:tblInd w:w="133" w:type="dxa"/>
        <w:tblLook w:val="04A0" w:firstRow="1" w:lastRow="0" w:firstColumn="1" w:lastColumn="0" w:noHBand="0" w:noVBand="1"/>
      </w:tblPr>
      <w:tblGrid>
        <w:gridCol w:w="669"/>
        <w:gridCol w:w="8265"/>
        <w:gridCol w:w="1512"/>
        <w:gridCol w:w="15"/>
      </w:tblGrid>
      <w:tr w:rsidR="005747A7" w14:paraId="27963887" w14:textId="77777777" w:rsidTr="00245E80">
        <w:tc>
          <w:tcPr>
            <w:tcW w:w="669" w:type="dxa"/>
          </w:tcPr>
          <w:p w14:paraId="66EE5320" w14:textId="77777777" w:rsidR="005747A7" w:rsidRPr="008304A3" w:rsidRDefault="005747A7">
            <w:pPr>
              <w:pStyle w:val="BodyTex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8265" w:type="dxa"/>
          </w:tcPr>
          <w:p w14:paraId="5FF7F15D" w14:textId="77777777" w:rsidR="005747A7" w:rsidRDefault="005747A7">
            <w:pPr>
              <w:pStyle w:val="BodyText"/>
              <w:spacing w:line="276" w:lineRule="auto"/>
            </w:pPr>
          </w:p>
        </w:tc>
        <w:tc>
          <w:tcPr>
            <w:tcW w:w="1527" w:type="dxa"/>
            <w:gridSpan w:val="2"/>
          </w:tcPr>
          <w:p w14:paraId="45F3732C" w14:textId="77777777" w:rsidR="005747A7" w:rsidRPr="008304A3" w:rsidRDefault="005747A7">
            <w:pPr>
              <w:pStyle w:val="BodyTex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5747A7" w14:paraId="1522C59A" w14:textId="77777777" w:rsidTr="00245E80">
        <w:tc>
          <w:tcPr>
            <w:tcW w:w="669" w:type="dxa"/>
          </w:tcPr>
          <w:p w14:paraId="490348D7" w14:textId="77777777" w:rsidR="005747A7" w:rsidRPr="00BD5EB4" w:rsidRDefault="005747A7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01.</w:t>
            </w:r>
          </w:p>
        </w:tc>
        <w:tc>
          <w:tcPr>
            <w:tcW w:w="8265" w:type="dxa"/>
          </w:tcPr>
          <w:p w14:paraId="1E0E49FB" w14:textId="77777777" w:rsidR="005747A7" w:rsidRDefault="005747A7" w:rsidP="00D51FEF">
            <w:pPr>
              <w:pStyle w:val="BodyText"/>
              <w:spacing w:line="360" w:lineRule="auto"/>
              <w:rPr>
                <w:b/>
                <w:bCs/>
              </w:rPr>
            </w:pPr>
            <w:r w:rsidRPr="00DF6C40">
              <w:rPr>
                <w:b/>
                <w:bCs/>
              </w:rPr>
              <w:t>Welcome and Apologies for Absence</w:t>
            </w:r>
          </w:p>
          <w:p w14:paraId="2538EEEA" w14:textId="77777777" w:rsidR="005747A7" w:rsidRDefault="005747A7" w:rsidP="00D51FEF">
            <w:pPr>
              <w:pStyle w:val="TableParagraph"/>
              <w:spacing w:line="360" w:lineRule="auto"/>
              <w:ind w:left="0"/>
              <w:rPr>
                <w:b/>
              </w:rPr>
            </w:pPr>
          </w:p>
          <w:p w14:paraId="14323A7D" w14:textId="5C0C8E2B" w:rsidR="005747A7" w:rsidRDefault="005747A7" w:rsidP="00D13478">
            <w:pPr>
              <w:pStyle w:val="TableParagraph"/>
              <w:spacing w:line="276" w:lineRule="auto"/>
              <w:ind w:left="0"/>
            </w:pPr>
            <w:r w:rsidRPr="331C55F2">
              <w:rPr>
                <w:b/>
                <w:bCs/>
              </w:rPr>
              <w:t xml:space="preserve">Introduction and Welcome - </w:t>
            </w:r>
            <w:r>
              <w:t>The Chair welcomed members to the Membership &amp; Ethics Committee meeting</w:t>
            </w:r>
            <w:r w:rsidR="002446CA">
              <w:t>.</w:t>
            </w:r>
          </w:p>
          <w:p w14:paraId="2F1729E1" w14:textId="77777777" w:rsidR="005747A7" w:rsidRDefault="005747A7" w:rsidP="00D13478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6A6BC6BB" w14:textId="77777777" w:rsidR="00D51FEF" w:rsidRDefault="005747A7" w:rsidP="00D51FEF">
            <w:pPr>
              <w:pStyle w:val="BodyText"/>
              <w:spacing w:line="360" w:lineRule="auto"/>
              <w:rPr>
                <w:bCs/>
              </w:rPr>
            </w:pPr>
            <w:r>
              <w:rPr>
                <w:b/>
              </w:rPr>
              <w:t xml:space="preserve">Apologies for Absence – </w:t>
            </w:r>
            <w:r>
              <w:rPr>
                <w:bCs/>
              </w:rPr>
              <w:t xml:space="preserve">Apologies received from </w:t>
            </w:r>
            <w:r w:rsidR="00BD3026" w:rsidRPr="00BD3026">
              <w:rPr>
                <w:bCs/>
              </w:rPr>
              <w:t xml:space="preserve">Alison Cooper, and Lauren Whitworth. </w:t>
            </w:r>
          </w:p>
          <w:p w14:paraId="0A61B5DC" w14:textId="153697D7" w:rsidR="00BD3026" w:rsidRPr="00DF6C40" w:rsidRDefault="00BD3026" w:rsidP="00D51FEF">
            <w:pPr>
              <w:pStyle w:val="BodyText"/>
              <w:spacing w:line="360" w:lineRule="auto"/>
              <w:rPr>
                <w:b/>
                <w:bCs/>
              </w:rPr>
            </w:pPr>
          </w:p>
        </w:tc>
        <w:tc>
          <w:tcPr>
            <w:tcW w:w="1527" w:type="dxa"/>
            <w:gridSpan w:val="2"/>
          </w:tcPr>
          <w:p w14:paraId="618A63C7" w14:textId="77777777" w:rsidR="005747A7" w:rsidRPr="00BD5EB4" w:rsidRDefault="005747A7">
            <w:pPr>
              <w:pStyle w:val="BodyText"/>
              <w:spacing w:line="276" w:lineRule="auto"/>
              <w:ind w:right="-110"/>
              <w:rPr>
                <w:b/>
                <w:bCs/>
              </w:rPr>
            </w:pPr>
          </w:p>
        </w:tc>
      </w:tr>
      <w:tr w:rsidR="005747A7" w14:paraId="031BC26B" w14:textId="77777777" w:rsidTr="00245E80">
        <w:tc>
          <w:tcPr>
            <w:tcW w:w="669" w:type="dxa"/>
          </w:tcPr>
          <w:p w14:paraId="72036588" w14:textId="77777777" w:rsidR="005747A7" w:rsidRPr="00BD5EB4" w:rsidRDefault="005747A7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02.</w:t>
            </w:r>
          </w:p>
        </w:tc>
        <w:tc>
          <w:tcPr>
            <w:tcW w:w="8265" w:type="dxa"/>
          </w:tcPr>
          <w:p w14:paraId="075B0247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  <w:r w:rsidRPr="00EF40C3">
              <w:rPr>
                <w:b/>
                <w:bCs/>
              </w:rPr>
              <w:t>Declaration of Interests</w:t>
            </w:r>
          </w:p>
          <w:p w14:paraId="4973189D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55A5EFF" w14:textId="18C2D99D" w:rsidR="00B24A1B" w:rsidRDefault="00B24A1B" w:rsidP="00B24A1B">
            <w:pPr>
              <w:jc w:val="both"/>
            </w:pPr>
            <w:r>
              <w:t xml:space="preserve">The Chair noted no declarations of interest </w:t>
            </w:r>
            <w:r w:rsidR="00BB0787">
              <w:t>by</w:t>
            </w:r>
            <w:r>
              <w:t xml:space="preserve"> the committee for this meeting.</w:t>
            </w:r>
          </w:p>
          <w:p w14:paraId="58529C98" w14:textId="77777777" w:rsidR="00920253" w:rsidRDefault="00920253">
            <w:pPr>
              <w:pStyle w:val="BodyText"/>
              <w:spacing w:line="276" w:lineRule="auto"/>
            </w:pPr>
          </w:p>
          <w:p w14:paraId="266A01F6" w14:textId="7C58FF9E" w:rsidR="005747A7" w:rsidRPr="00F91BDD" w:rsidRDefault="005747A7" w:rsidP="006C70FD">
            <w:pPr>
              <w:pStyle w:val="BodyText"/>
              <w:spacing w:line="276" w:lineRule="auto"/>
            </w:pPr>
          </w:p>
        </w:tc>
        <w:tc>
          <w:tcPr>
            <w:tcW w:w="1527" w:type="dxa"/>
            <w:gridSpan w:val="2"/>
          </w:tcPr>
          <w:p w14:paraId="4CD41A7C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70D328AF" w14:textId="77777777" w:rsidR="002B5FD2" w:rsidRDefault="002B5FD2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5D274CDD" w14:textId="77777777" w:rsidR="002B5FD2" w:rsidRDefault="002B5FD2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4BD9F1BD" w14:textId="2B29A973" w:rsidR="002B5FD2" w:rsidRPr="00BD5EB4" w:rsidRDefault="002B5FD2">
            <w:pPr>
              <w:pStyle w:val="BodyText"/>
              <w:spacing w:line="276" w:lineRule="auto"/>
              <w:rPr>
                <w:b/>
                <w:bCs/>
              </w:rPr>
            </w:pPr>
          </w:p>
        </w:tc>
      </w:tr>
      <w:tr w:rsidR="005747A7" w14:paraId="01FF5DC2" w14:textId="77777777" w:rsidTr="00245E80">
        <w:tc>
          <w:tcPr>
            <w:tcW w:w="669" w:type="dxa"/>
          </w:tcPr>
          <w:p w14:paraId="5AFE45C8" w14:textId="77777777" w:rsidR="005747A7" w:rsidRPr="00BD5EB4" w:rsidRDefault="005747A7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03.</w:t>
            </w:r>
          </w:p>
        </w:tc>
        <w:tc>
          <w:tcPr>
            <w:tcW w:w="8265" w:type="dxa"/>
          </w:tcPr>
          <w:p w14:paraId="67C7EB5D" w14:textId="43B58ACD" w:rsidR="005747A7" w:rsidRDefault="005747A7" w:rsidP="00D51FEF">
            <w:pPr>
              <w:pStyle w:val="BodyText"/>
              <w:spacing w:line="360" w:lineRule="auto"/>
              <w:rPr>
                <w:b/>
                <w:bCs/>
              </w:rPr>
            </w:pPr>
            <w:r w:rsidRPr="331C55F2">
              <w:rPr>
                <w:b/>
                <w:bCs/>
              </w:rPr>
              <w:t xml:space="preserve">Minutes from </w:t>
            </w:r>
            <w:r>
              <w:rPr>
                <w:b/>
                <w:bCs/>
              </w:rPr>
              <w:t>M</w:t>
            </w:r>
            <w:r w:rsidRPr="331C55F2">
              <w:rPr>
                <w:b/>
                <w:bCs/>
              </w:rPr>
              <w:t>eeting o</w:t>
            </w:r>
            <w:r>
              <w:rPr>
                <w:b/>
                <w:bCs/>
              </w:rPr>
              <w:t>f</w:t>
            </w:r>
            <w:r w:rsidRPr="331C5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6C70FD">
              <w:rPr>
                <w:b/>
                <w:bCs/>
              </w:rPr>
              <w:t>3 February 2023</w:t>
            </w:r>
          </w:p>
          <w:p w14:paraId="43944770" w14:textId="77777777" w:rsidR="005928F0" w:rsidRDefault="005928F0" w:rsidP="00D51FEF">
            <w:pPr>
              <w:pStyle w:val="BodyText"/>
              <w:spacing w:line="360" w:lineRule="auto"/>
              <w:rPr>
                <w:vertAlign w:val="subscript"/>
              </w:rPr>
            </w:pPr>
          </w:p>
          <w:p w14:paraId="20CD09A8" w14:textId="77777777" w:rsidR="005928F0" w:rsidRDefault="005928F0" w:rsidP="005928F0">
            <w:pPr>
              <w:jc w:val="both"/>
            </w:pPr>
            <w:r>
              <w:t>The Chair and Committee had no</w:t>
            </w:r>
            <w:r w:rsidRPr="008D294A">
              <w:t xml:space="preserve"> points </w:t>
            </w:r>
            <w:r>
              <w:t>for</w:t>
            </w:r>
            <w:r w:rsidRPr="008D294A">
              <w:t xml:space="preserve"> corrections </w:t>
            </w:r>
            <w:r>
              <w:t xml:space="preserve">or matters arising from the confidential or non-confidential </w:t>
            </w:r>
            <w:r w:rsidRPr="008D294A">
              <w:t>minutes</w:t>
            </w:r>
            <w:r>
              <w:t xml:space="preserve"> from 16 May 2023. </w:t>
            </w:r>
          </w:p>
          <w:p w14:paraId="74F82C2C" w14:textId="77777777" w:rsidR="005928F0" w:rsidRDefault="005928F0" w:rsidP="005928F0">
            <w:pPr>
              <w:jc w:val="both"/>
            </w:pPr>
          </w:p>
          <w:p w14:paraId="6FC39263" w14:textId="5EB9CBAB" w:rsidR="005928F0" w:rsidRPr="008D294A" w:rsidRDefault="001B78D4" w:rsidP="005928F0">
            <w:pPr>
              <w:jc w:val="both"/>
            </w:pPr>
            <w:r w:rsidRPr="10537D58">
              <w:rPr>
                <w:b/>
                <w:bCs/>
              </w:rPr>
              <w:t xml:space="preserve">DECISION: </w:t>
            </w:r>
            <w:r w:rsidR="005928F0">
              <w:t xml:space="preserve">The Chair noted both confidential and non-confidential minutes from 16 May as agreed and approved. </w:t>
            </w:r>
          </w:p>
          <w:p w14:paraId="0C7DA9BD" w14:textId="1274AAE7" w:rsidR="005747A7" w:rsidRPr="00E23ADC" w:rsidRDefault="005747A7" w:rsidP="009D25CE">
            <w:pPr>
              <w:pStyle w:val="BodyText"/>
              <w:spacing w:line="276" w:lineRule="auto"/>
            </w:pPr>
          </w:p>
        </w:tc>
        <w:tc>
          <w:tcPr>
            <w:tcW w:w="1527" w:type="dxa"/>
            <w:gridSpan w:val="2"/>
          </w:tcPr>
          <w:p w14:paraId="4BE58237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EC1478E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17E2E8AE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770529BC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1C1EF8ED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6B4057AA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690BBA85" w14:textId="5436C761" w:rsidR="00C6011F" w:rsidRPr="00BD5EB4" w:rsidRDefault="00C6011F" w:rsidP="005928F0">
            <w:pPr>
              <w:pStyle w:val="BodyText"/>
              <w:spacing w:line="276" w:lineRule="auto"/>
              <w:rPr>
                <w:b/>
                <w:bCs/>
              </w:rPr>
            </w:pPr>
          </w:p>
        </w:tc>
      </w:tr>
      <w:tr w:rsidR="005747A7" w14:paraId="7BBE1552" w14:textId="77777777" w:rsidTr="00245E80">
        <w:tc>
          <w:tcPr>
            <w:tcW w:w="669" w:type="dxa"/>
          </w:tcPr>
          <w:p w14:paraId="3CBC7BFF" w14:textId="77777777" w:rsidR="005747A7" w:rsidRPr="00BD5EB4" w:rsidRDefault="005747A7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04.</w:t>
            </w:r>
          </w:p>
        </w:tc>
        <w:tc>
          <w:tcPr>
            <w:tcW w:w="8265" w:type="dxa"/>
          </w:tcPr>
          <w:p w14:paraId="3831CA9B" w14:textId="7BEBECB3" w:rsidR="0040133A" w:rsidRDefault="005747A7" w:rsidP="0040133A">
            <w:pPr>
              <w:pStyle w:val="BodyText"/>
              <w:spacing w:line="276" w:lineRule="auto"/>
            </w:pPr>
            <w:r>
              <w:rPr>
                <w:b/>
                <w:bCs/>
              </w:rPr>
              <w:t>Action Log</w:t>
            </w:r>
          </w:p>
          <w:p w14:paraId="6748B987" w14:textId="77777777" w:rsidR="0040133A" w:rsidRDefault="0040133A" w:rsidP="0040133A">
            <w:pPr>
              <w:pStyle w:val="BodyText"/>
              <w:spacing w:line="276" w:lineRule="auto"/>
            </w:pPr>
          </w:p>
          <w:p w14:paraId="767B885D" w14:textId="27FE9BCF" w:rsidR="00894351" w:rsidRDefault="00894351" w:rsidP="00894351">
            <w:pPr>
              <w:pStyle w:val="BodyText"/>
              <w:spacing w:line="276" w:lineRule="auto"/>
            </w:pPr>
            <w:r>
              <w:t xml:space="preserve">The Membership Assessment Manager noted Action 29 (Resourcing implications from UAE) as currently underway, with </w:t>
            </w:r>
            <w:r w:rsidR="008E5F6E">
              <w:t>further</w:t>
            </w:r>
            <w:r>
              <w:t xml:space="preserve"> discussion</w:t>
            </w:r>
            <w:r w:rsidR="008E5F6E">
              <w:t>s</w:t>
            </w:r>
            <w:r>
              <w:t xml:space="preserve"> due to take place on number </w:t>
            </w:r>
            <w:r w:rsidR="00DC0F5D">
              <w:t xml:space="preserve">of </w:t>
            </w:r>
            <w:r>
              <w:t xml:space="preserve">assessors needed if there is an increase in international applications. </w:t>
            </w:r>
          </w:p>
          <w:p w14:paraId="7C2B4002" w14:textId="77777777" w:rsidR="00894351" w:rsidRDefault="00894351" w:rsidP="00894351">
            <w:pPr>
              <w:pStyle w:val="BodyText"/>
              <w:spacing w:line="276" w:lineRule="auto"/>
            </w:pPr>
          </w:p>
          <w:p w14:paraId="0E204CEF" w14:textId="2243800B" w:rsidR="005747A7" w:rsidRDefault="00894351" w:rsidP="00894351">
            <w:pPr>
              <w:pStyle w:val="BodyText"/>
              <w:spacing w:line="276" w:lineRule="auto"/>
            </w:pPr>
            <w:r>
              <w:lastRenderedPageBreak/>
              <w:t>The Chair noted no further comments on the action log.</w:t>
            </w:r>
          </w:p>
          <w:p w14:paraId="28179835" w14:textId="77777777" w:rsidR="00894351" w:rsidRDefault="00894351" w:rsidP="00894351">
            <w:pPr>
              <w:pStyle w:val="BodyText"/>
              <w:spacing w:line="276" w:lineRule="auto"/>
            </w:pPr>
          </w:p>
          <w:p w14:paraId="0834264C" w14:textId="40981BC3" w:rsidR="005747A7" w:rsidRDefault="005747A7" w:rsidP="009D25CE">
            <w:pPr>
              <w:pStyle w:val="BodyText"/>
              <w:spacing w:line="276" w:lineRule="auto"/>
            </w:pPr>
            <w:r w:rsidRPr="10537D58">
              <w:rPr>
                <w:b/>
                <w:bCs/>
              </w:rPr>
              <w:t xml:space="preserve">DECISION: </w:t>
            </w:r>
            <w:r>
              <w:t xml:space="preserve">The </w:t>
            </w:r>
            <w:r w:rsidR="00894351">
              <w:t>Chair</w:t>
            </w:r>
            <w:r>
              <w:t xml:space="preserve"> noted the Action Log and </w:t>
            </w:r>
            <w:r w:rsidR="00894351">
              <w:t xml:space="preserve">agreed </w:t>
            </w:r>
            <w:r>
              <w:t xml:space="preserve">with </w:t>
            </w:r>
            <w:r w:rsidR="00894351">
              <w:t xml:space="preserve">the </w:t>
            </w:r>
            <w:r>
              <w:t xml:space="preserve">current stage of progress. </w:t>
            </w:r>
          </w:p>
          <w:p w14:paraId="53ADF14C" w14:textId="77777777" w:rsidR="005747A7" w:rsidRPr="00E24FAA" w:rsidRDefault="005747A7" w:rsidP="00225E7D">
            <w:pPr>
              <w:pStyle w:val="BodyText"/>
              <w:spacing w:line="276" w:lineRule="auto"/>
              <w:rPr>
                <w:b/>
                <w:bCs/>
              </w:rPr>
            </w:pPr>
          </w:p>
        </w:tc>
        <w:tc>
          <w:tcPr>
            <w:tcW w:w="1527" w:type="dxa"/>
            <w:gridSpan w:val="2"/>
          </w:tcPr>
          <w:p w14:paraId="608EDE40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530ED995" w14:textId="34F64689" w:rsidR="002B5FD2" w:rsidRPr="00BD5EB4" w:rsidRDefault="002B5FD2">
            <w:pPr>
              <w:pStyle w:val="BodyText"/>
              <w:spacing w:line="276" w:lineRule="auto"/>
              <w:rPr>
                <w:b/>
                <w:bCs/>
              </w:rPr>
            </w:pPr>
          </w:p>
        </w:tc>
      </w:tr>
      <w:tr w:rsidR="005747A7" w14:paraId="2002089D" w14:textId="77777777" w:rsidTr="00245E80">
        <w:tc>
          <w:tcPr>
            <w:tcW w:w="669" w:type="dxa"/>
          </w:tcPr>
          <w:p w14:paraId="4644F615" w14:textId="77777777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05.</w:t>
            </w:r>
          </w:p>
        </w:tc>
        <w:tc>
          <w:tcPr>
            <w:tcW w:w="8265" w:type="dxa"/>
          </w:tcPr>
          <w:p w14:paraId="6DA8ABFD" w14:textId="522FA95A" w:rsidR="005747A7" w:rsidRPr="00F63A3E" w:rsidRDefault="00FE5B06" w:rsidP="009D25CE">
            <w:pPr>
              <w:pStyle w:val="BodyText"/>
              <w:spacing w:line="276" w:lineRule="auto"/>
              <w:rPr>
                <w:b/>
                <w:bCs/>
              </w:rPr>
            </w:pPr>
            <w:r w:rsidRPr="00F63A3E">
              <w:rPr>
                <w:b/>
                <w:bCs/>
              </w:rPr>
              <w:t xml:space="preserve">Membership Statistics </w:t>
            </w:r>
          </w:p>
          <w:p w14:paraId="58750227" w14:textId="145FFEB9" w:rsidR="00FE5B06" w:rsidRDefault="006361E4" w:rsidP="006361E4">
            <w:pPr>
              <w:pStyle w:val="BodyText"/>
              <w:tabs>
                <w:tab w:val="left" w:pos="6780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020C4BA3" w14:textId="4365E4AB" w:rsidR="009914FC" w:rsidRDefault="005F1B63" w:rsidP="005F1B63">
            <w:pPr>
              <w:pStyle w:val="BodyText"/>
              <w:spacing w:line="276" w:lineRule="auto"/>
              <w:rPr>
                <w:b/>
                <w:bCs/>
              </w:rPr>
            </w:pPr>
            <w:r>
              <w:t>This item is confidential.</w:t>
            </w:r>
          </w:p>
        </w:tc>
        <w:tc>
          <w:tcPr>
            <w:tcW w:w="1527" w:type="dxa"/>
            <w:gridSpan w:val="2"/>
          </w:tcPr>
          <w:p w14:paraId="3993AAC2" w14:textId="77777777" w:rsidR="005747A7" w:rsidRDefault="005747A7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3F756621" w14:textId="77777777" w:rsidR="00615861" w:rsidRDefault="00615861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502082C0" w14:textId="77777777" w:rsidR="00615861" w:rsidRDefault="00615861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2CBE6A55" w14:textId="2F84A957" w:rsidR="009914FC" w:rsidRDefault="009914FC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</w:tc>
      </w:tr>
      <w:tr w:rsidR="005747A7" w14:paraId="4BF2445E" w14:textId="77777777" w:rsidTr="00245E80">
        <w:tc>
          <w:tcPr>
            <w:tcW w:w="669" w:type="dxa"/>
          </w:tcPr>
          <w:p w14:paraId="73C3B487" w14:textId="48A832C9" w:rsidR="005747A7" w:rsidRDefault="005747A7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06.</w:t>
            </w:r>
          </w:p>
        </w:tc>
        <w:tc>
          <w:tcPr>
            <w:tcW w:w="8265" w:type="dxa"/>
          </w:tcPr>
          <w:p w14:paraId="28359B73" w14:textId="4778D264" w:rsidR="005747A7" w:rsidRDefault="00C30ED4" w:rsidP="005747A7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Member Value</w:t>
            </w:r>
            <w:r w:rsidR="003B4757">
              <w:rPr>
                <w:b/>
                <w:bCs/>
              </w:rPr>
              <w:t xml:space="preserve"> Project</w:t>
            </w:r>
          </w:p>
          <w:p w14:paraId="2B994154" w14:textId="77777777" w:rsidR="005747A7" w:rsidRDefault="005747A7" w:rsidP="005747A7">
            <w:pPr>
              <w:pStyle w:val="BodyText"/>
              <w:spacing w:line="276" w:lineRule="auto"/>
            </w:pPr>
          </w:p>
          <w:p w14:paraId="71F5680F" w14:textId="6EA5F48B" w:rsidR="005F1B63" w:rsidRDefault="005F1B63" w:rsidP="005747A7">
            <w:pPr>
              <w:pStyle w:val="BodyText"/>
              <w:spacing w:line="276" w:lineRule="auto"/>
            </w:pPr>
            <w:r>
              <w:t>This item is confidential.</w:t>
            </w:r>
          </w:p>
          <w:p w14:paraId="35F18A7E" w14:textId="7FBB7052" w:rsidR="005747A7" w:rsidRPr="002E52B6" w:rsidRDefault="005747A7" w:rsidP="005F1B63">
            <w:pPr>
              <w:pStyle w:val="BodyText"/>
              <w:spacing w:line="276" w:lineRule="auto"/>
              <w:jc w:val="both"/>
            </w:pPr>
          </w:p>
        </w:tc>
        <w:tc>
          <w:tcPr>
            <w:tcW w:w="1527" w:type="dxa"/>
            <w:gridSpan w:val="2"/>
          </w:tcPr>
          <w:p w14:paraId="3AD9C0CF" w14:textId="77777777" w:rsidR="005747A7" w:rsidRDefault="005747A7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79799A27" w14:textId="77777777" w:rsidR="003C39E2" w:rsidRDefault="003C39E2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0E5AC989" w14:textId="1B51C12E" w:rsidR="003C39E2" w:rsidRDefault="003C39E2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</w:tc>
      </w:tr>
      <w:tr w:rsidR="005747A7" w14:paraId="553ECDC9" w14:textId="77777777" w:rsidTr="00245E80">
        <w:tc>
          <w:tcPr>
            <w:tcW w:w="669" w:type="dxa"/>
          </w:tcPr>
          <w:p w14:paraId="3706B3BE" w14:textId="0417B1E0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07.</w:t>
            </w:r>
          </w:p>
        </w:tc>
        <w:tc>
          <w:tcPr>
            <w:tcW w:w="8265" w:type="dxa"/>
          </w:tcPr>
          <w:p w14:paraId="79300BBE" w14:textId="6A3A0EA0" w:rsidR="005747A7" w:rsidRDefault="007D0D4A" w:rsidP="009D25CE">
            <w:pPr>
              <w:pStyle w:val="BodyText"/>
              <w:spacing w:line="276" w:lineRule="auto"/>
              <w:rPr>
                <w:b/>
                <w:bCs/>
              </w:rPr>
            </w:pPr>
            <w:r w:rsidRPr="007D0D4A">
              <w:rPr>
                <w:b/>
                <w:bCs/>
              </w:rPr>
              <w:t xml:space="preserve">APC Review Working Group Update </w:t>
            </w:r>
          </w:p>
          <w:p w14:paraId="27170027" w14:textId="77777777" w:rsidR="007D0D4A" w:rsidRDefault="007D0D4A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172A403D" w14:textId="1EDDF7D2" w:rsidR="00ED5224" w:rsidRPr="00ED5224" w:rsidRDefault="005F1B63" w:rsidP="00352A4E">
            <w:pPr>
              <w:pStyle w:val="BodyText"/>
              <w:spacing w:line="276" w:lineRule="auto"/>
              <w:jc w:val="both"/>
            </w:pPr>
            <w:r>
              <w:t>This item is confidential.</w:t>
            </w:r>
          </w:p>
        </w:tc>
        <w:tc>
          <w:tcPr>
            <w:tcW w:w="1527" w:type="dxa"/>
            <w:gridSpan w:val="2"/>
          </w:tcPr>
          <w:p w14:paraId="210FDF53" w14:textId="77777777" w:rsidR="005747A7" w:rsidRDefault="005747A7" w:rsidP="009D25CE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4836B491" w14:textId="77777777" w:rsidR="0062123E" w:rsidRDefault="0062123E" w:rsidP="009D25CE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784F2AD7" w14:textId="77777777" w:rsidR="0062123E" w:rsidRDefault="0062123E" w:rsidP="009D25CE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  <w:p w14:paraId="4AEF3130" w14:textId="0E4C1AFA" w:rsidR="004B0EE9" w:rsidRDefault="004B0EE9" w:rsidP="009D25CE">
            <w:pPr>
              <w:pStyle w:val="BodyText"/>
              <w:spacing w:line="276" w:lineRule="auto"/>
              <w:ind w:right="175"/>
              <w:rPr>
                <w:b/>
                <w:bCs/>
              </w:rPr>
            </w:pPr>
          </w:p>
        </w:tc>
      </w:tr>
      <w:tr w:rsidR="005747A7" w14:paraId="43CB5F4D" w14:textId="77777777" w:rsidTr="00245E80">
        <w:tc>
          <w:tcPr>
            <w:tcW w:w="669" w:type="dxa"/>
          </w:tcPr>
          <w:p w14:paraId="365157AF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08.</w:t>
            </w:r>
          </w:p>
        </w:tc>
        <w:tc>
          <w:tcPr>
            <w:tcW w:w="8265" w:type="dxa"/>
          </w:tcPr>
          <w:p w14:paraId="6110ABFD" w14:textId="15861B7D" w:rsidR="005747A7" w:rsidRDefault="00204848" w:rsidP="009D25C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  <w:r w:rsidRPr="00204848">
              <w:rPr>
                <w:b/>
                <w:bCs/>
              </w:rPr>
              <w:t xml:space="preserve">Framework for International Engagement </w:t>
            </w:r>
          </w:p>
          <w:p w14:paraId="2F1948C4" w14:textId="77777777" w:rsidR="00204848" w:rsidRDefault="00204848" w:rsidP="007C434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  <w:p w14:paraId="73584C38" w14:textId="34C15E3C" w:rsidR="004017BF" w:rsidRDefault="003647FF" w:rsidP="007C434E">
            <w:pPr>
              <w:jc w:val="both"/>
            </w:pPr>
            <w:r w:rsidRPr="00827557">
              <w:t xml:space="preserve">The </w:t>
            </w:r>
            <w:r>
              <w:t xml:space="preserve">International Lead presented the Framework for International Engagement – </w:t>
            </w:r>
            <w:r w:rsidR="00E35444">
              <w:t>and provided an overview of the</w:t>
            </w:r>
            <w:r>
              <w:t xml:space="preserve"> vision </w:t>
            </w:r>
            <w:r w:rsidR="00E35444">
              <w:t xml:space="preserve">(planning as a positive force for global sustainable development) </w:t>
            </w:r>
            <w:r>
              <w:t>and mission</w:t>
            </w:r>
            <w:r w:rsidR="00E35444">
              <w:t xml:space="preserve"> (empower members to lead our action international</w:t>
            </w:r>
            <w:r w:rsidR="004612BC">
              <w:t>ly</w:t>
            </w:r>
            <w:r w:rsidR="00E35444">
              <w:t xml:space="preserve">) </w:t>
            </w:r>
            <w:r>
              <w:t xml:space="preserve">of the </w:t>
            </w:r>
            <w:r w:rsidR="00E35444">
              <w:t>I</w:t>
            </w:r>
            <w:r>
              <w:t xml:space="preserve">nternational </w:t>
            </w:r>
            <w:r w:rsidR="00E35444">
              <w:t>S</w:t>
            </w:r>
            <w:r>
              <w:t xml:space="preserve">trategy including the </w:t>
            </w:r>
            <w:r w:rsidR="00E35444">
              <w:t xml:space="preserve">international </w:t>
            </w:r>
            <w:r>
              <w:t>pillars</w:t>
            </w:r>
            <w:r w:rsidR="005C6FA3">
              <w:t xml:space="preserve">. </w:t>
            </w:r>
            <w:r w:rsidR="004017BF">
              <w:t>The International Lead asked for the MEC to consider three key questions as part of the general principles</w:t>
            </w:r>
            <w:r w:rsidR="00B3492F">
              <w:t xml:space="preserve"> for Phase 2 of the framework</w:t>
            </w:r>
            <w:r w:rsidR="004017BF">
              <w:t>:</w:t>
            </w:r>
          </w:p>
          <w:p w14:paraId="5012EA20" w14:textId="77777777" w:rsidR="00667F6C" w:rsidRDefault="00667F6C" w:rsidP="007C434E">
            <w:pPr>
              <w:jc w:val="both"/>
            </w:pPr>
          </w:p>
          <w:p w14:paraId="7A67D47C" w14:textId="09E4C56E" w:rsidR="00667F6C" w:rsidRPr="00667F6C" w:rsidRDefault="00667F6C" w:rsidP="007C434E">
            <w:pPr>
              <w:jc w:val="both"/>
              <w:rPr>
                <w:i/>
                <w:iCs/>
              </w:rPr>
            </w:pPr>
            <w:r w:rsidRPr="00667F6C">
              <w:rPr>
                <w:i/>
                <w:iCs/>
              </w:rPr>
              <w:t>Human rights considerations and ethics:</w:t>
            </w:r>
          </w:p>
          <w:p w14:paraId="6C855418" w14:textId="14F7F378" w:rsidR="00667F6C" w:rsidRPr="009D7617" w:rsidRDefault="00667F6C" w:rsidP="00667F6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352A4E">
              <w:rPr>
                <w:rFonts w:ascii="Arial" w:eastAsia="Arial" w:hAnsi="Arial" w:cs="Arial"/>
                <w:lang w:bidi="en-US"/>
              </w:rPr>
              <w:t>What best practise and due diligence should guide the Institute?</w:t>
            </w:r>
          </w:p>
          <w:p w14:paraId="2C5EABD9" w14:textId="2AAD3CDC" w:rsidR="00667F6C" w:rsidRPr="00667F6C" w:rsidRDefault="00667F6C" w:rsidP="00667F6C">
            <w:pPr>
              <w:jc w:val="both"/>
              <w:rPr>
                <w:i/>
                <w:iCs/>
              </w:rPr>
            </w:pPr>
            <w:r w:rsidRPr="00667F6C">
              <w:rPr>
                <w:i/>
                <w:iCs/>
              </w:rPr>
              <w:t>Culturally sensitive approach</w:t>
            </w:r>
          </w:p>
          <w:p w14:paraId="71B24431" w14:textId="48445964" w:rsidR="00667F6C" w:rsidRPr="009D7617" w:rsidRDefault="00667F6C" w:rsidP="00667F6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352A4E">
              <w:rPr>
                <w:rFonts w:ascii="Arial" w:eastAsia="Arial" w:hAnsi="Arial" w:cs="Arial"/>
                <w:lang w:bidi="en-US"/>
              </w:rPr>
              <w:t>What should this approach consider?</w:t>
            </w:r>
          </w:p>
          <w:p w14:paraId="5E339D5F" w14:textId="7C45A966" w:rsidR="009959D4" w:rsidRPr="009D7617" w:rsidRDefault="00667F6C" w:rsidP="0099644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352A4E">
              <w:rPr>
                <w:rFonts w:ascii="Arial" w:eastAsia="Arial" w:hAnsi="Arial" w:cs="Arial"/>
                <w:lang w:bidi="en-US"/>
              </w:rPr>
              <w:t>How does the Institute engage with EDI in a varied global context?</w:t>
            </w:r>
          </w:p>
          <w:p w14:paraId="6D5BBCD8" w14:textId="77777777" w:rsidR="001A7A9E" w:rsidRDefault="001A7A9E" w:rsidP="001A7A9E">
            <w:pPr>
              <w:jc w:val="both"/>
            </w:pPr>
            <w:r>
              <w:t>Committee noted the following points:</w:t>
            </w:r>
          </w:p>
          <w:p w14:paraId="73689889" w14:textId="77777777" w:rsidR="001A7A9E" w:rsidRDefault="001A7A9E" w:rsidP="001A7A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Code of conduct and endorsement: to strike a balance between creating relationships with other nations/plannings schools, but also to take note of code of conduct from these relationships.</w:t>
            </w:r>
          </w:p>
          <w:p w14:paraId="0EB0B988" w14:textId="76E03983" w:rsidR="001A7A9E" w:rsidRDefault="001A7A9E" w:rsidP="001A7A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Definition of a planner in international contexts: Number of planners per population – define what a planner is across country contexts, as some countries have architects, engineers working in </w:t>
            </w:r>
            <w:r w:rsidR="00996446">
              <w:rPr>
                <w:rFonts w:ascii="Arial" w:hAnsi="Arial" w:cs="Arial"/>
                <w:color w:val="auto"/>
              </w:rPr>
              <w:t>planning.</w:t>
            </w:r>
          </w:p>
          <w:p w14:paraId="2CCA5054" w14:textId="77777777" w:rsidR="001A7A9E" w:rsidRDefault="001A7A9E" w:rsidP="001A7A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To be clear on distinctions between practitioners in Hong Kong and China </w:t>
            </w:r>
          </w:p>
          <w:p w14:paraId="687869A6" w14:textId="77777777" w:rsidR="001A7A9E" w:rsidRDefault="001A7A9E" w:rsidP="001A7A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Cultural sensitivity and differential approaches to planning law and practise:  examples of unethical approaches to land use and planning laws are presented in some countries, with a need to be mindful of international engagement strategies across different cultural contexts.</w:t>
            </w:r>
          </w:p>
          <w:p w14:paraId="6E79FBEA" w14:textId="77777777" w:rsidR="001A7A9E" w:rsidRDefault="001A7A9E" w:rsidP="001A7A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Data on international membership decline can be used to better understand how to improve offer for international members.  </w:t>
            </w:r>
          </w:p>
          <w:p w14:paraId="58C22E73" w14:textId="77777777" w:rsidR="001A7A9E" w:rsidRDefault="001A7A9E" w:rsidP="001A7A9E"/>
          <w:p w14:paraId="2C7CE817" w14:textId="62A8E899" w:rsidR="001A7A9E" w:rsidRPr="001C1210" w:rsidRDefault="001A7A9E" w:rsidP="001A7A9E">
            <w:pPr>
              <w:jc w:val="both"/>
            </w:pPr>
            <w:r>
              <w:t xml:space="preserve">The International Lead noted importance </w:t>
            </w:r>
            <w:r w:rsidR="008E5F6E">
              <w:t xml:space="preserve">of the </w:t>
            </w:r>
            <w:r>
              <w:t>data collection stage</w:t>
            </w:r>
            <w:r w:rsidR="008E5F6E">
              <w:t xml:space="preserve">, with </w:t>
            </w:r>
            <w:r w:rsidR="009E2847">
              <w:t>CRM analysis</w:t>
            </w:r>
            <w:r>
              <w:t xml:space="preserve"> to be</w:t>
            </w:r>
            <w:r w:rsidRPr="001C1210">
              <w:t xml:space="preserve"> conducted with </w:t>
            </w:r>
            <w:r w:rsidR="009E2847">
              <w:t xml:space="preserve">RTPI’s </w:t>
            </w:r>
            <w:r w:rsidRPr="001C1210">
              <w:t xml:space="preserve">CRM manager for more comprehensive overview of international membership and engagement. The International Lead encouraged engagement from </w:t>
            </w:r>
            <w:r w:rsidR="00996446" w:rsidRPr="001C1210">
              <w:t>MEC and</w:t>
            </w:r>
            <w:r w:rsidRPr="001C1210">
              <w:t xml:space="preserve"> </w:t>
            </w:r>
            <w:r w:rsidR="009E2847">
              <w:t>noted that a</w:t>
            </w:r>
            <w:r w:rsidRPr="001C1210">
              <w:t xml:space="preserve"> progress report will be </w:t>
            </w:r>
            <w:r w:rsidRPr="001C1210">
              <w:lastRenderedPageBreak/>
              <w:t>delivered before the end of the yea</w:t>
            </w:r>
            <w:r w:rsidR="009E2847">
              <w:t xml:space="preserve">r to the MEC. </w:t>
            </w:r>
          </w:p>
          <w:p w14:paraId="16E45B0B" w14:textId="144017C7" w:rsidR="000E595F" w:rsidRPr="00F65167" w:rsidRDefault="000E595F" w:rsidP="009D25CE">
            <w:pPr>
              <w:spacing w:line="276" w:lineRule="auto"/>
            </w:pPr>
          </w:p>
        </w:tc>
        <w:tc>
          <w:tcPr>
            <w:tcW w:w="1527" w:type="dxa"/>
            <w:gridSpan w:val="2"/>
          </w:tcPr>
          <w:p w14:paraId="51855FC8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04B84AA2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2D13ED90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708D7671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7E05B1AD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B7E37F4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74355A16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DCE0503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23A32A38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45976FEC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5DAD98CF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67CC2280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1D547885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4CA04EFF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D036DD2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4798DB51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4E229DF3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15742D8D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2DE98BB9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2BEE8448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05FCEB97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76B71E58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1B92D68D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4850AF3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62DE6D9" w14:textId="77777777" w:rsidR="00AA425D" w:rsidRDefault="00AA425D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31D497AC" w14:textId="30A6789F" w:rsidR="005747A7" w:rsidRDefault="005747A7" w:rsidP="001A7A9E">
            <w:pPr>
              <w:pStyle w:val="BodyText"/>
              <w:spacing w:line="276" w:lineRule="auto"/>
              <w:rPr>
                <w:b/>
                <w:bCs/>
              </w:rPr>
            </w:pPr>
          </w:p>
        </w:tc>
      </w:tr>
      <w:tr w:rsidR="005747A7" w14:paraId="480FBFC4" w14:textId="77777777" w:rsidTr="00245E80">
        <w:tc>
          <w:tcPr>
            <w:tcW w:w="669" w:type="dxa"/>
          </w:tcPr>
          <w:p w14:paraId="6C13E131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09.</w:t>
            </w:r>
          </w:p>
        </w:tc>
        <w:tc>
          <w:tcPr>
            <w:tcW w:w="8265" w:type="dxa"/>
          </w:tcPr>
          <w:p w14:paraId="40A23E81" w14:textId="40AF0B40" w:rsidR="00887FDC" w:rsidRPr="00887FDC" w:rsidRDefault="00455C83" w:rsidP="00887FDC">
            <w:pPr>
              <w:pStyle w:val="BodyText"/>
              <w:spacing w:line="276" w:lineRule="auto"/>
              <w:rPr>
                <w:b/>
                <w:bCs/>
              </w:rPr>
            </w:pPr>
            <w:r w:rsidRPr="00EE7FCB">
              <w:rPr>
                <w:b/>
                <w:bCs/>
              </w:rPr>
              <w:t>Education Policy Review</w:t>
            </w:r>
            <w:r w:rsidRPr="00455C83">
              <w:rPr>
                <w:b/>
                <w:bCs/>
              </w:rPr>
              <w:t xml:space="preserve"> </w:t>
            </w:r>
          </w:p>
          <w:p w14:paraId="12A752B2" w14:textId="77777777" w:rsidR="006E68A8" w:rsidRDefault="006E68A8" w:rsidP="00887FDC">
            <w:pPr>
              <w:rPr>
                <w:b/>
                <w:bCs/>
              </w:rPr>
            </w:pPr>
          </w:p>
          <w:p w14:paraId="4D52DA4F" w14:textId="3D01D35C" w:rsidR="003250E2" w:rsidRPr="003250E2" w:rsidRDefault="003250E2" w:rsidP="003250E2">
            <w:pPr>
              <w:pStyle w:val="BodyText"/>
              <w:spacing w:line="276" w:lineRule="auto"/>
              <w:jc w:val="both"/>
            </w:pPr>
            <w:r w:rsidRPr="003250E2">
              <w:t xml:space="preserve">The Director for Education and Profession noted </w:t>
            </w:r>
            <w:r>
              <w:t xml:space="preserve">key </w:t>
            </w:r>
            <w:r w:rsidRPr="003250E2">
              <w:t xml:space="preserve">developments of the Education Policy Review (EPR) diagnostic report submitted by Better Together – the consultancy for the EPR – which was </w:t>
            </w:r>
            <w:r w:rsidR="005E107D">
              <w:t>presented</w:t>
            </w:r>
            <w:r w:rsidRPr="003250E2">
              <w:t xml:space="preserve"> to the Board of Trustees in Jul</w:t>
            </w:r>
            <w:r w:rsidR="005E107D">
              <w:t xml:space="preserve">y. The </w:t>
            </w:r>
            <w:r w:rsidRPr="003250E2">
              <w:t>Board accepted that there were no significant flaws from the EPR to dat</w:t>
            </w:r>
            <w:r w:rsidR="00852029">
              <w:t xml:space="preserve">e but reflections for RTPI officers and committees are outlined in </w:t>
            </w:r>
            <w:r w:rsidR="00925811">
              <w:t xml:space="preserve">the </w:t>
            </w:r>
            <w:r w:rsidR="00925811" w:rsidRPr="003250E2">
              <w:t>recommendations</w:t>
            </w:r>
            <w:r w:rsidR="00852029">
              <w:t xml:space="preserve"> and </w:t>
            </w:r>
            <w:r w:rsidR="005E107D">
              <w:t>a</w:t>
            </w:r>
            <w:r w:rsidRPr="003250E2">
              <w:t xml:space="preserve"> summary report by the Director of Education and Profession on rescoping the project</w:t>
            </w:r>
            <w:r w:rsidR="00852029">
              <w:t xml:space="preserve">. </w:t>
            </w:r>
            <w:r w:rsidRPr="003250E2">
              <w:t>Additional points noted were the</w:t>
            </w:r>
            <w:r w:rsidR="00B32EBA">
              <w:t xml:space="preserve"> further</w:t>
            </w:r>
            <w:r w:rsidRPr="003250E2">
              <w:t xml:space="preserve"> implications for APC competencies</w:t>
            </w:r>
            <w:r w:rsidR="00B32EBA">
              <w:t xml:space="preserve">. The Board </w:t>
            </w:r>
            <w:r w:rsidR="008D7097">
              <w:t xml:space="preserve">recommended that an oversight group is formed, which should include </w:t>
            </w:r>
            <w:r w:rsidRPr="003250E2">
              <w:t>the MEC Chair and Vice Chair to help shape the project</w:t>
            </w:r>
            <w:r w:rsidR="008D7097">
              <w:t xml:space="preserve">, inclusion of the APC, and alignment with other projects that focus on </w:t>
            </w:r>
            <w:r w:rsidRPr="003250E2">
              <w:t xml:space="preserve">pipelines into the planning profession. </w:t>
            </w:r>
          </w:p>
          <w:p w14:paraId="56068C9D" w14:textId="77777777" w:rsidR="00BF2B19" w:rsidRDefault="00BF2B19" w:rsidP="003250E2">
            <w:pPr>
              <w:pStyle w:val="BodyText"/>
              <w:spacing w:line="276" w:lineRule="auto"/>
              <w:jc w:val="both"/>
            </w:pPr>
          </w:p>
          <w:p w14:paraId="3B77A9A9" w14:textId="33A16BD6" w:rsidR="002D55E3" w:rsidRDefault="00563EC1" w:rsidP="003250E2">
            <w:pPr>
              <w:pStyle w:val="BodyText"/>
              <w:spacing w:line="276" w:lineRule="auto"/>
              <w:jc w:val="both"/>
            </w:pPr>
            <w:r>
              <w:t xml:space="preserve">The Chair noted the importance of the summary report (pg.2) for the MEC committee, </w:t>
            </w:r>
            <w:r w:rsidR="002D55E3">
              <w:t>and the full recommendations (pg</w:t>
            </w:r>
            <w:r w:rsidR="00752FEC">
              <w:t>.</w:t>
            </w:r>
            <w:r w:rsidR="002D55E3">
              <w:t xml:space="preserve"> 5-6). Regarding recommendation 1, the Chair noted that the review will go beyond Education Policy, and echoed comments by the committee during this meeting on the importance of APC as a journ</w:t>
            </w:r>
            <w:r w:rsidR="00BF5CB5">
              <w:t xml:space="preserve">ey and process, and that this should be included in the </w:t>
            </w:r>
            <w:r w:rsidR="00925811">
              <w:t>section of the report recommendation which state:</w:t>
            </w:r>
            <w:r w:rsidR="009E2971">
              <w:t xml:space="preserve"> ‘encompass</w:t>
            </w:r>
            <w:r w:rsidR="00925811">
              <w:t>ing</w:t>
            </w:r>
            <w:r w:rsidR="009E2971">
              <w:t xml:space="preserve"> all the </w:t>
            </w:r>
            <w:r w:rsidR="00D31AE9">
              <w:t xml:space="preserve">initiatives that further educate and train planners throughout their </w:t>
            </w:r>
            <w:r w:rsidR="00EE7FCB">
              <w:t>careers’.</w:t>
            </w:r>
          </w:p>
          <w:p w14:paraId="7071FB61" w14:textId="77777777" w:rsidR="00EE7FCB" w:rsidRDefault="00EE7FCB" w:rsidP="003250E2">
            <w:pPr>
              <w:pStyle w:val="BodyText"/>
              <w:spacing w:line="276" w:lineRule="auto"/>
              <w:jc w:val="both"/>
            </w:pPr>
          </w:p>
          <w:p w14:paraId="2CFA92CD" w14:textId="750F063E" w:rsidR="004F0905" w:rsidRPr="003250E2" w:rsidRDefault="00BF2B19" w:rsidP="003250E2">
            <w:pPr>
              <w:pStyle w:val="BodyText"/>
              <w:spacing w:line="276" w:lineRule="auto"/>
              <w:jc w:val="both"/>
            </w:pPr>
            <w:r w:rsidRPr="003250E2">
              <w:t xml:space="preserve">The Director for Education and Profession </w:t>
            </w:r>
            <w:r w:rsidR="003250E2" w:rsidRPr="003250E2">
              <w:t xml:space="preserve">noted </w:t>
            </w:r>
            <w:r>
              <w:t>the</w:t>
            </w:r>
            <w:r w:rsidR="003250E2" w:rsidRPr="003250E2">
              <w:t xml:space="preserve"> development of Education for Everyone – to increase pipeline into the profession – as part of the rescope of the Education Policy and wider RTPI Strategy.</w:t>
            </w:r>
          </w:p>
          <w:p w14:paraId="2D8EE179" w14:textId="77777777" w:rsidR="004F0905" w:rsidRDefault="004F0905" w:rsidP="00887FDC">
            <w:pPr>
              <w:rPr>
                <w:b/>
                <w:bCs/>
              </w:rPr>
            </w:pPr>
          </w:p>
          <w:p w14:paraId="4DD42FA1" w14:textId="381C37A1" w:rsidR="004F0905" w:rsidRDefault="004F0905" w:rsidP="00887FDC">
            <w:pPr>
              <w:rPr>
                <w:b/>
                <w:bCs/>
              </w:rPr>
            </w:pPr>
          </w:p>
        </w:tc>
        <w:tc>
          <w:tcPr>
            <w:tcW w:w="1527" w:type="dxa"/>
            <w:gridSpan w:val="2"/>
          </w:tcPr>
          <w:p w14:paraId="5F17288A" w14:textId="77777777" w:rsidR="005747A7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  <w:p w14:paraId="60340E26" w14:textId="17ABD3D7" w:rsidR="00027121" w:rsidRDefault="00027121" w:rsidP="00245E80">
            <w:pPr>
              <w:pStyle w:val="BodyText"/>
              <w:spacing w:line="276" w:lineRule="auto"/>
              <w:rPr>
                <w:b/>
                <w:bCs/>
              </w:rPr>
            </w:pPr>
          </w:p>
        </w:tc>
      </w:tr>
      <w:tr w:rsidR="00D65F57" w14:paraId="272860AF" w14:textId="77777777" w:rsidTr="00245E80">
        <w:tc>
          <w:tcPr>
            <w:tcW w:w="669" w:type="dxa"/>
          </w:tcPr>
          <w:p w14:paraId="29B4E36B" w14:textId="6CAD9770" w:rsidR="00D65F57" w:rsidRDefault="000D5E53" w:rsidP="009D25CE">
            <w:pPr>
              <w:pStyle w:val="BodyTex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265" w:type="dxa"/>
          </w:tcPr>
          <w:p w14:paraId="48B6DA85" w14:textId="77777777" w:rsidR="0060035D" w:rsidRDefault="0060035D" w:rsidP="000D5E53">
            <w:pPr>
              <w:pStyle w:val="BodyText"/>
              <w:spacing w:line="276" w:lineRule="auto"/>
              <w:rPr>
                <w:b/>
                <w:bCs/>
              </w:rPr>
            </w:pPr>
            <w:r w:rsidRPr="0060035D">
              <w:rPr>
                <w:b/>
                <w:bCs/>
              </w:rPr>
              <w:t>2024 Membership Fees</w:t>
            </w:r>
          </w:p>
          <w:p w14:paraId="125C491E" w14:textId="77777777" w:rsidR="0060035D" w:rsidRDefault="0060035D" w:rsidP="000D5E53">
            <w:pPr>
              <w:pStyle w:val="BodyText"/>
              <w:spacing w:line="276" w:lineRule="auto"/>
            </w:pPr>
          </w:p>
          <w:p w14:paraId="255B7E88" w14:textId="77777777" w:rsidR="001B6BAF" w:rsidRDefault="005F1B63" w:rsidP="001B6BAF">
            <w:pPr>
              <w:pStyle w:val="BodyText"/>
              <w:spacing w:line="276" w:lineRule="auto"/>
              <w:jc w:val="both"/>
            </w:pPr>
            <w:r>
              <w:t>This item is confidential.</w:t>
            </w:r>
          </w:p>
          <w:p w14:paraId="1B853E5D" w14:textId="05E7B6C6" w:rsidR="005F1B63" w:rsidRDefault="005F1B63" w:rsidP="001B6BAF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27" w:type="dxa"/>
            <w:gridSpan w:val="2"/>
          </w:tcPr>
          <w:p w14:paraId="61B63BFE" w14:textId="77777777" w:rsidR="00D65F57" w:rsidRDefault="00D65F57" w:rsidP="009D25CE">
            <w:pPr>
              <w:pStyle w:val="BodyText"/>
              <w:spacing w:line="276" w:lineRule="auto"/>
              <w:rPr>
                <w:b/>
                <w:bCs/>
              </w:rPr>
            </w:pPr>
          </w:p>
        </w:tc>
      </w:tr>
      <w:tr w:rsidR="005747A7" w14:paraId="747F2AD0" w14:textId="77777777" w:rsidTr="00245E80">
        <w:trPr>
          <w:gridAfter w:val="1"/>
          <w:wAfter w:w="15" w:type="dxa"/>
        </w:trPr>
        <w:tc>
          <w:tcPr>
            <w:tcW w:w="669" w:type="dxa"/>
          </w:tcPr>
          <w:p w14:paraId="5B4E25F8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8265" w:type="dxa"/>
          </w:tcPr>
          <w:p w14:paraId="60137934" w14:textId="08C302B1" w:rsidR="005747A7" w:rsidRDefault="008A3D00" w:rsidP="009D25CE">
            <w:pPr>
              <w:pStyle w:val="BodyText"/>
              <w:spacing w:after="1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Equality, Diversity &amp; Inclusion, Memorandum of Understanding (EDI MOU) Action Plan</w:t>
            </w:r>
          </w:p>
          <w:p w14:paraId="0C0B9637" w14:textId="77777777" w:rsidR="005747A7" w:rsidRDefault="005747A7" w:rsidP="009D25CE">
            <w:pPr>
              <w:pStyle w:val="BodyText"/>
              <w:spacing w:line="276" w:lineRule="auto"/>
            </w:pPr>
          </w:p>
          <w:p w14:paraId="755FD476" w14:textId="39AF7666" w:rsidR="008135CF" w:rsidRDefault="000750FE" w:rsidP="00840D0C">
            <w:pPr>
              <w:jc w:val="both"/>
            </w:pPr>
            <w:r>
              <w:t xml:space="preserve">The Chair takes the Diversity and Inclusion Memorandum of Understanding (EDI MOU) as read, and the </w:t>
            </w:r>
            <w:r w:rsidR="008135CF">
              <w:t>Director for Education and Profession</w:t>
            </w:r>
            <w:r w:rsidR="00840D0C" w:rsidRPr="006406AF">
              <w:t xml:space="preserve"> </w:t>
            </w:r>
            <w:r w:rsidR="00B95142">
              <w:t>welcomed questions from the committee.</w:t>
            </w:r>
          </w:p>
          <w:p w14:paraId="2D8CC4B1" w14:textId="77777777" w:rsidR="00840D0C" w:rsidRDefault="00840D0C" w:rsidP="00840D0C">
            <w:pPr>
              <w:rPr>
                <w:vertAlign w:val="subscript"/>
              </w:rPr>
            </w:pPr>
          </w:p>
          <w:p w14:paraId="0C6276FF" w14:textId="77777777" w:rsidR="00840D0C" w:rsidRDefault="00840D0C" w:rsidP="00840D0C">
            <w:r w:rsidRPr="00086FC8">
              <w:t>The committee noted the following:</w:t>
            </w:r>
          </w:p>
          <w:p w14:paraId="387BCD0F" w14:textId="77777777" w:rsidR="00840D0C" w:rsidRDefault="00840D0C" w:rsidP="00840D0C"/>
          <w:p w14:paraId="007689AD" w14:textId="61B3ACD8" w:rsidR="00840D0C" w:rsidRDefault="009E6543" w:rsidP="00840D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‘Explore’</w:t>
            </w:r>
            <w:r w:rsidR="00840D0C">
              <w:rPr>
                <w:rFonts w:ascii="Arial" w:hAnsi="Arial" w:cs="Arial"/>
              </w:rPr>
              <w:t xml:space="preserve"> and volunteer involvement: for more opportunities for volunteers to promote EXPLORE in areas such as career events, local schools, employers and broader RTPI outreach activities. </w:t>
            </w:r>
          </w:p>
          <w:p w14:paraId="5E8C616D" w14:textId="597E3E98" w:rsidR="00840D0C" w:rsidRPr="00A6316D" w:rsidRDefault="0023337E" w:rsidP="00840D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if </w:t>
            </w:r>
            <w:r w:rsidR="00840D0C" w:rsidRPr="00A6316D">
              <w:rPr>
                <w:rFonts w:ascii="Arial" w:hAnsi="Arial" w:cs="Arial"/>
              </w:rPr>
              <w:t xml:space="preserve">the purpose of this framework </w:t>
            </w:r>
            <w:r>
              <w:rPr>
                <w:rFonts w:ascii="Arial" w:hAnsi="Arial" w:cs="Arial"/>
              </w:rPr>
              <w:t>is about</w:t>
            </w:r>
            <w:r w:rsidR="00840D0C" w:rsidRPr="00A6316D">
              <w:rPr>
                <w:rFonts w:ascii="Arial" w:hAnsi="Arial" w:cs="Arial"/>
              </w:rPr>
              <w:t xml:space="preserve"> promoting diversity in planning or supporting the RTPI diversity measure</w:t>
            </w:r>
            <w:r>
              <w:rPr>
                <w:rFonts w:ascii="Arial" w:hAnsi="Arial" w:cs="Arial"/>
              </w:rPr>
              <w:t>s – more clarifications are needed.</w:t>
            </w:r>
          </w:p>
          <w:p w14:paraId="4A82798D" w14:textId="61B9BF8F" w:rsidR="00840D0C" w:rsidRDefault="00840D0C" w:rsidP="00840D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Difficulties to conduct RTPI diversity framework due to pathway limitations for larger organisations, due to pre-existing quotas in areas such as work experience placements and school engagement, though the guidelines and </w:t>
            </w:r>
            <w:r>
              <w:rPr>
                <w:rFonts w:ascii="Arial" w:hAnsi="Arial" w:cs="Arial"/>
              </w:rPr>
              <w:lastRenderedPageBreak/>
              <w:t>policies outlined in the framework can be beneficial to smaller</w:t>
            </w:r>
            <w:r w:rsidR="000D61D9">
              <w:rPr>
                <w:rFonts w:ascii="Arial" w:hAnsi="Arial" w:cs="Arial"/>
              </w:rPr>
              <w:t>, and new, organisations.</w:t>
            </w:r>
          </w:p>
          <w:p w14:paraId="0A7DEB32" w14:textId="77777777" w:rsidR="00840D0C" w:rsidRDefault="00840D0C" w:rsidP="00840D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fairs and activities: to understand how to include RTPI in activities such as university fairs and STEM activities. </w:t>
            </w:r>
          </w:p>
          <w:p w14:paraId="1BB48FE5" w14:textId="77777777" w:rsidR="00840D0C" w:rsidRDefault="00840D0C" w:rsidP="00840D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collection section: Member value survey has a different definition of ‘disability’ than the one presented in the MoU, and to understand which version is currently being used, and if this aligns with other institutions. </w:t>
            </w:r>
          </w:p>
          <w:p w14:paraId="7900F68A" w14:textId="77777777" w:rsidR="00840D0C" w:rsidRDefault="00840D0C" w:rsidP="00840D0C">
            <w:pPr>
              <w:jc w:val="both"/>
            </w:pPr>
          </w:p>
          <w:p w14:paraId="1388E60F" w14:textId="0BAC9DEF" w:rsidR="005747A7" w:rsidRPr="00A6316D" w:rsidRDefault="005A5E59" w:rsidP="00A6316D">
            <w:pPr>
              <w:jc w:val="both"/>
            </w:pPr>
            <w:r>
              <w:t xml:space="preserve">The </w:t>
            </w:r>
            <w:r w:rsidR="00B95142">
              <w:t>Director</w:t>
            </w:r>
            <w:r>
              <w:t xml:space="preserve"> of Education</w:t>
            </w:r>
            <w:r w:rsidR="00B95142">
              <w:t xml:space="preserve"> and Profession</w:t>
            </w:r>
            <w:r>
              <w:t xml:space="preserve"> noted </w:t>
            </w:r>
            <w:r w:rsidR="00B95142">
              <w:t xml:space="preserve">that both the </w:t>
            </w:r>
            <w:r w:rsidR="00A6316D">
              <w:t xml:space="preserve">EDI Manager and </w:t>
            </w:r>
            <w:r>
              <w:t xml:space="preserve">consultant </w:t>
            </w:r>
            <w:r w:rsidR="00A6316D">
              <w:t>will return to MEC for</w:t>
            </w:r>
            <w:r>
              <w:t xml:space="preserve"> further input from MEC into</w:t>
            </w:r>
            <w:r w:rsidR="00A6316D">
              <w:t xml:space="preserve"> the </w:t>
            </w:r>
            <w:r w:rsidR="00DB2132">
              <w:t>review and</w:t>
            </w:r>
            <w:r w:rsidR="00A6316D">
              <w:t xml:space="preserve"> encouraged MEC to </w:t>
            </w:r>
            <w:r w:rsidR="00A6316D" w:rsidRPr="006406AF">
              <w:t>promote the</w:t>
            </w:r>
            <w:r w:rsidR="00A6316D">
              <w:t xml:space="preserve"> recently advertised</w:t>
            </w:r>
            <w:r w:rsidR="00A6316D" w:rsidRPr="006406AF">
              <w:t xml:space="preserve"> </w:t>
            </w:r>
            <w:r w:rsidR="00A6316D">
              <w:t>invitation to tender via their networks.</w:t>
            </w:r>
          </w:p>
          <w:p w14:paraId="7BB55D65" w14:textId="4C1D1A5B" w:rsidR="005A5E59" w:rsidRDefault="005A5E59" w:rsidP="00026751">
            <w:pPr>
              <w:pStyle w:val="BodyText"/>
              <w:spacing w:line="276" w:lineRule="auto"/>
              <w:rPr>
                <w:b/>
                <w:bCs/>
              </w:rPr>
            </w:pPr>
          </w:p>
        </w:tc>
        <w:tc>
          <w:tcPr>
            <w:tcW w:w="1512" w:type="dxa"/>
          </w:tcPr>
          <w:p w14:paraId="77CCE765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0AD609B4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503EE32E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179E3CAC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2C8A479C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4FE9FD31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5EA3329E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35D9ADDE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7AEFE8A6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60BD21B0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52C240AB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28A59CDA" w14:textId="77777777" w:rsidR="005747A7" w:rsidRPr="00B555EE" w:rsidRDefault="005747A7" w:rsidP="009D25CE">
            <w:pPr>
              <w:pStyle w:val="BodyText"/>
              <w:spacing w:after="1" w:line="276" w:lineRule="auto"/>
              <w:jc w:val="center"/>
              <w:rPr>
                <w:b/>
                <w:bCs/>
              </w:rPr>
            </w:pPr>
          </w:p>
        </w:tc>
      </w:tr>
      <w:tr w:rsidR="005747A7" w14:paraId="5BE972C4" w14:textId="77777777" w:rsidTr="00245E80">
        <w:trPr>
          <w:gridAfter w:val="1"/>
          <w:wAfter w:w="15" w:type="dxa"/>
        </w:trPr>
        <w:tc>
          <w:tcPr>
            <w:tcW w:w="669" w:type="dxa"/>
          </w:tcPr>
          <w:p w14:paraId="6C0CB4E4" w14:textId="69588E3C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1FD1">
              <w:rPr>
                <w:b/>
                <w:bCs/>
              </w:rPr>
              <w:t>2</w:t>
            </w:r>
          </w:p>
        </w:tc>
        <w:tc>
          <w:tcPr>
            <w:tcW w:w="8265" w:type="dxa"/>
          </w:tcPr>
          <w:p w14:paraId="7A3CE805" w14:textId="7A2B9889" w:rsidR="005747A7" w:rsidRDefault="000D38D8" w:rsidP="009D25CE">
            <w:pPr>
              <w:pStyle w:val="BodyText"/>
              <w:spacing w:line="276" w:lineRule="auto"/>
              <w:rPr>
                <w:b/>
                <w:bCs/>
              </w:rPr>
            </w:pPr>
            <w:r w:rsidRPr="000D38D8">
              <w:rPr>
                <w:b/>
                <w:bCs/>
              </w:rPr>
              <w:t>Membership Assessment Advisory Panel (MAAP) Update</w:t>
            </w:r>
          </w:p>
          <w:p w14:paraId="7401E372" w14:textId="77777777" w:rsidR="000D38D8" w:rsidRDefault="000D38D8" w:rsidP="009D25CE">
            <w:pPr>
              <w:pStyle w:val="BodyText"/>
              <w:spacing w:line="276" w:lineRule="auto"/>
            </w:pPr>
          </w:p>
          <w:p w14:paraId="5A6580F9" w14:textId="51902B57" w:rsidR="005747A7" w:rsidRPr="00334772" w:rsidRDefault="005F1B63" w:rsidP="00A22235">
            <w:pPr>
              <w:pStyle w:val="BodyText"/>
              <w:spacing w:line="276" w:lineRule="auto"/>
              <w:rPr>
                <w:b/>
                <w:bCs/>
              </w:rPr>
            </w:pPr>
            <w:r>
              <w:t>This item is confidential.</w:t>
            </w:r>
          </w:p>
        </w:tc>
        <w:tc>
          <w:tcPr>
            <w:tcW w:w="1512" w:type="dxa"/>
          </w:tcPr>
          <w:p w14:paraId="226875BD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59322945" w14:textId="77777777" w:rsidR="00731BA5" w:rsidRDefault="00731BA5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21EAE674" w14:textId="77777777" w:rsidR="00731BA5" w:rsidRDefault="00731BA5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0311C61A" w14:textId="2D64880B" w:rsidR="00731BA5" w:rsidRDefault="00731BA5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</w:tc>
      </w:tr>
      <w:tr w:rsidR="005747A7" w14:paraId="5609B555" w14:textId="77777777" w:rsidTr="00245E80">
        <w:trPr>
          <w:gridAfter w:val="1"/>
          <w:wAfter w:w="15" w:type="dxa"/>
        </w:trPr>
        <w:tc>
          <w:tcPr>
            <w:tcW w:w="669" w:type="dxa"/>
          </w:tcPr>
          <w:p w14:paraId="25E4A033" w14:textId="3CEDEEC3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1FD1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8265" w:type="dxa"/>
          </w:tcPr>
          <w:p w14:paraId="57731A0A" w14:textId="77777777" w:rsidR="00424E9A" w:rsidRDefault="00424E9A" w:rsidP="00424E9A">
            <w:pPr>
              <w:jc w:val="both"/>
              <w:rPr>
                <w:b/>
                <w:bCs/>
              </w:rPr>
            </w:pPr>
            <w:r w:rsidRPr="00424E9A">
              <w:rPr>
                <w:b/>
                <w:bCs/>
              </w:rPr>
              <w:t>Conduct &amp; Discipline Panel (C&amp;D) Update</w:t>
            </w:r>
          </w:p>
          <w:p w14:paraId="5DE63102" w14:textId="77777777" w:rsidR="00F029A0" w:rsidRPr="00424E9A" w:rsidRDefault="00F029A0" w:rsidP="00424E9A">
            <w:pPr>
              <w:jc w:val="both"/>
              <w:rPr>
                <w:b/>
                <w:bCs/>
              </w:rPr>
            </w:pPr>
          </w:p>
          <w:p w14:paraId="1CD5DA98" w14:textId="1EB88DCA" w:rsidR="005747A7" w:rsidRDefault="00EF0E01" w:rsidP="00F029A0">
            <w:pPr>
              <w:pStyle w:val="BodyText"/>
              <w:spacing w:after="1" w:line="276" w:lineRule="auto"/>
              <w:jc w:val="both"/>
            </w:pPr>
            <w:r>
              <w:t>This item is confidential.</w:t>
            </w:r>
          </w:p>
          <w:p w14:paraId="4F4D726F" w14:textId="62F2EF5E" w:rsidR="00F029A0" w:rsidRPr="00334772" w:rsidRDefault="00F029A0" w:rsidP="00F029A0">
            <w:pPr>
              <w:pStyle w:val="BodyText"/>
              <w:spacing w:after="1" w:line="276" w:lineRule="auto"/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692BF2AD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</w:tc>
      </w:tr>
      <w:tr w:rsidR="005747A7" w14:paraId="590CE2E6" w14:textId="77777777" w:rsidTr="00245E80">
        <w:trPr>
          <w:gridAfter w:val="1"/>
          <w:wAfter w:w="15" w:type="dxa"/>
        </w:trPr>
        <w:tc>
          <w:tcPr>
            <w:tcW w:w="669" w:type="dxa"/>
          </w:tcPr>
          <w:p w14:paraId="4D7E5997" w14:textId="48A45843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1FD1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8265" w:type="dxa"/>
          </w:tcPr>
          <w:p w14:paraId="033FDC49" w14:textId="77777777" w:rsidR="005747A7" w:rsidRPr="008A62F6" w:rsidRDefault="005747A7" w:rsidP="009D25CE">
            <w:pPr>
              <w:pStyle w:val="BodyText"/>
              <w:spacing w:line="276" w:lineRule="auto"/>
              <w:rPr>
                <w:b/>
                <w:bCs/>
              </w:rPr>
            </w:pPr>
            <w:r w:rsidRPr="008A62F6">
              <w:rPr>
                <w:b/>
                <w:bCs/>
              </w:rPr>
              <w:t>International Ethics Standards Coalition Update</w:t>
            </w:r>
          </w:p>
          <w:p w14:paraId="43F29B9C" w14:textId="77777777" w:rsidR="005747A7" w:rsidRDefault="005747A7" w:rsidP="009D25CE">
            <w:pPr>
              <w:pStyle w:val="BodyText"/>
              <w:spacing w:after="1" w:line="276" w:lineRule="auto"/>
              <w:jc w:val="both"/>
            </w:pPr>
          </w:p>
          <w:p w14:paraId="217202A6" w14:textId="74EB86B3" w:rsidR="005747A7" w:rsidRPr="00051381" w:rsidRDefault="00051381" w:rsidP="00051381">
            <w:pPr>
              <w:jc w:val="both"/>
            </w:pPr>
            <w:r>
              <w:t xml:space="preserve">The </w:t>
            </w:r>
            <w:r w:rsidR="00DE3909">
              <w:t xml:space="preserve">Complaints Investigator </w:t>
            </w:r>
            <w:r>
              <w:t xml:space="preserve">noted that only one email was received from the International Ethics Standards Coalition </w:t>
            </w:r>
            <w:r w:rsidR="00685D5B">
              <w:t xml:space="preserve">(IESC) to agree for </w:t>
            </w:r>
            <w:r>
              <w:t>another</w:t>
            </w:r>
            <w:r w:rsidR="00685D5B">
              <w:t xml:space="preserve"> membership</w:t>
            </w:r>
            <w:r>
              <w:t xml:space="preserve"> body to be part of the </w:t>
            </w:r>
            <w:r w:rsidR="00685D5B">
              <w:t>IESC</w:t>
            </w:r>
            <w:r>
              <w:t xml:space="preserve">, which has now </w:t>
            </w:r>
            <w:r w:rsidR="00685D5B">
              <w:t>been approved</w:t>
            </w:r>
            <w:r>
              <w:t xml:space="preserve">, </w:t>
            </w:r>
            <w:r w:rsidR="00685D5B">
              <w:t>with no additional work</w:t>
            </w:r>
            <w:r>
              <w:t xml:space="preserve"> currently taking place.</w:t>
            </w:r>
          </w:p>
        </w:tc>
        <w:tc>
          <w:tcPr>
            <w:tcW w:w="1512" w:type="dxa"/>
          </w:tcPr>
          <w:p w14:paraId="2DDC4FA8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77E8B718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35C51678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64FBD215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51913AAB" w14:textId="77777777" w:rsidR="00E71361" w:rsidRDefault="00E71361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67B9AC1E" w14:textId="2903708C" w:rsidR="005747A7" w:rsidRDefault="005747A7" w:rsidP="009D25CE">
            <w:pPr>
              <w:pStyle w:val="BodyText"/>
              <w:spacing w:after="1" w:line="276" w:lineRule="auto"/>
              <w:jc w:val="center"/>
              <w:rPr>
                <w:b/>
                <w:bCs/>
              </w:rPr>
            </w:pPr>
          </w:p>
        </w:tc>
      </w:tr>
      <w:tr w:rsidR="00E01FD1" w14:paraId="734F8BA4" w14:textId="77777777" w:rsidTr="00245E80">
        <w:trPr>
          <w:gridAfter w:val="1"/>
          <w:wAfter w:w="15" w:type="dxa"/>
        </w:trPr>
        <w:tc>
          <w:tcPr>
            <w:tcW w:w="669" w:type="dxa"/>
          </w:tcPr>
          <w:p w14:paraId="50C04653" w14:textId="0476EBD1" w:rsidR="00E01FD1" w:rsidRDefault="00E01FD1" w:rsidP="009D25CE">
            <w:pPr>
              <w:pStyle w:val="BodyText"/>
              <w:spacing w:after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265" w:type="dxa"/>
          </w:tcPr>
          <w:p w14:paraId="7C466264" w14:textId="77777777" w:rsidR="00E01FD1" w:rsidRDefault="00E01FD1" w:rsidP="009D25CE">
            <w:pPr>
              <w:pStyle w:val="BodyText"/>
              <w:spacing w:after="1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Departmental Activity Report incl. GROWPLAN Update</w:t>
            </w:r>
          </w:p>
          <w:p w14:paraId="4181E60D" w14:textId="77777777" w:rsidR="00E01FD1" w:rsidRDefault="00E01FD1" w:rsidP="009D25CE">
            <w:pPr>
              <w:pStyle w:val="BodyText"/>
              <w:spacing w:after="1" w:line="276" w:lineRule="auto"/>
              <w:jc w:val="both"/>
              <w:rPr>
                <w:b/>
                <w:bCs/>
              </w:rPr>
            </w:pPr>
          </w:p>
          <w:p w14:paraId="5A5107DD" w14:textId="77777777" w:rsidR="00E01FD1" w:rsidRDefault="005F1B63" w:rsidP="007877F7">
            <w:pPr>
              <w:pStyle w:val="BodyText"/>
              <w:spacing w:after="1" w:line="276" w:lineRule="auto"/>
              <w:jc w:val="both"/>
            </w:pPr>
            <w:r>
              <w:t>This item is confidential.</w:t>
            </w:r>
          </w:p>
          <w:p w14:paraId="7B56B3A4" w14:textId="37A544E6" w:rsidR="005F1B63" w:rsidRPr="007877F7" w:rsidRDefault="005F1B63" w:rsidP="007877F7">
            <w:pPr>
              <w:pStyle w:val="BodyText"/>
              <w:spacing w:after="1" w:line="276" w:lineRule="auto"/>
              <w:jc w:val="both"/>
            </w:pPr>
          </w:p>
        </w:tc>
        <w:tc>
          <w:tcPr>
            <w:tcW w:w="1512" w:type="dxa"/>
          </w:tcPr>
          <w:p w14:paraId="4836A472" w14:textId="77777777" w:rsidR="00E01FD1" w:rsidRDefault="00E01FD1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</w:tc>
      </w:tr>
      <w:tr w:rsidR="005747A7" w14:paraId="4384DB10" w14:textId="77777777" w:rsidTr="00245E80">
        <w:trPr>
          <w:gridAfter w:val="1"/>
          <w:wAfter w:w="15" w:type="dxa"/>
        </w:trPr>
        <w:tc>
          <w:tcPr>
            <w:tcW w:w="669" w:type="dxa"/>
          </w:tcPr>
          <w:p w14:paraId="5E696FE3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8265" w:type="dxa"/>
          </w:tcPr>
          <w:p w14:paraId="0DF64B9B" w14:textId="77777777" w:rsidR="005747A7" w:rsidRDefault="005747A7" w:rsidP="009D25CE">
            <w:pPr>
              <w:pStyle w:val="BodyText"/>
              <w:spacing w:after="1" w:line="276" w:lineRule="auto"/>
              <w:jc w:val="both"/>
              <w:rPr>
                <w:b/>
                <w:bCs/>
              </w:rPr>
            </w:pPr>
            <w:r w:rsidRPr="00652824">
              <w:rPr>
                <w:b/>
                <w:bCs/>
              </w:rPr>
              <w:t>Any Notified Business Not Otherwise on the Agenda</w:t>
            </w:r>
          </w:p>
          <w:p w14:paraId="0F219710" w14:textId="77777777" w:rsidR="005747A7" w:rsidRDefault="005747A7" w:rsidP="009D25CE">
            <w:pPr>
              <w:pStyle w:val="BodyText"/>
              <w:spacing w:line="276" w:lineRule="auto"/>
            </w:pPr>
          </w:p>
          <w:p w14:paraId="4E55A822" w14:textId="77777777" w:rsidR="00F63A3E" w:rsidRDefault="00F63A3E" w:rsidP="00F63A3E">
            <w:r>
              <w:t>The Chair noted no other business not otherwise on the agenda.</w:t>
            </w:r>
          </w:p>
          <w:p w14:paraId="04817587" w14:textId="77777777" w:rsidR="005747A7" w:rsidRPr="00D4291C" w:rsidRDefault="005747A7" w:rsidP="009D25CE">
            <w:pPr>
              <w:pStyle w:val="BodyText"/>
              <w:spacing w:line="276" w:lineRule="auto"/>
            </w:pPr>
          </w:p>
        </w:tc>
        <w:tc>
          <w:tcPr>
            <w:tcW w:w="1512" w:type="dxa"/>
          </w:tcPr>
          <w:p w14:paraId="3C8E6AC3" w14:textId="77777777" w:rsidR="00C0354F" w:rsidRDefault="00C0354F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  <w:p w14:paraId="75867D61" w14:textId="0E2BACBC" w:rsidR="00F63A3E" w:rsidRDefault="00F63A3E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</w:tc>
      </w:tr>
      <w:tr w:rsidR="005747A7" w14:paraId="4B4F8907" w14:textId="77777777" w:rsidTr="00245E80">
        <w:trPr>
          <w:gridAfter w:val="1"/>
          <w:wAfter w:w="15" w:type="dxa"/>
        </w:trPr>
        <w:tc>
          <w:tcPr>
            <w:tcW w:w="669" w:type="dxa"/>
          </w:tcPr>
          <w:p w14:paraId="5AD4D325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</w:tc>
        <w:tc>
          <w:tcPr>
            <w:tcW w:w="8265" w:type="dxa"/>
          </w:tcPr>
          <w:p w14:paraId="31B52695" w14:textId="77777777" w:rsidR="005747A7" w:rsidRPr="00334772" w:rsidRDefault="005747A7" w:rsidP="009D25CE">
            <w:pPr>
              <w:pStyle w:val="BodyText"/>
              <w:spacing w:after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CLOSED</w:t>
            </w:r>
          </w:p>
        </w:tc>
        <w:tc>
          <w:tcPr>
            <w:tcW w:w="1512" w:type="dxa"/>
          </w:tcPr>
          <w:p w14:paraId="0D95EA70" w14:textId="77777777" w:rsidR="005747A7" w:rsidRDefault="005747A7" w:rsidP="009D25CE">
            <w:pPr>
              <w:pStyle w:val="BodyText"/>
              <w:spacing w:after="1" w:line="276" w:lineRule="auto"/>
              <w:rPr>
                <w:b/>
                <w:bCs/>
              </w:rPr>
            </w:pPr>
          </w:p>
        </w:tc>
      </w:tr>
    </w:tbl>
    <w:p w14:paraId="40E5C4DC" w14:textId="176BBDC1" w:rsidR="005747A7" w:rsidRDefault="005747A7" w:rsidP="009D25CE">
      <w:pPr>
        <w:spacing w:line="276" w:lineRule="auto"/>
      </w:pPr>
    </w:p>
    <w:sectPr w:rsidR="005747A7" w:rsidSect="00512361"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FE9E" w14:textId="77777777" w:rsidR="00EF2110" w:rsidRDefault="00EF2110" w:rsidP="005747A7">
      <w:r>
        <w:separator/>
      </w:r>
    </w:p>
  </w:endnote>
  <w:endnote w:type="continuationSeparator" w:id="0">
    <w:p w14:paraId="6BD22D7B" w14:textId="77777777" w:rsidR="00EF2110" w:rsidRDefault="00EF2110" w:rsidP="005747A7">
      <w:r>
        <w:continuationSeparator/>
      </w:r>
    </w:p>
  </w:endnote>
  <w:endnote w:type="continuationNotice" w:id="1">
    <w:p w14:paraId="02FEA5BD" w14:textId="77777777" w:rsidR="00EF2110" w:rsidRDefault="00EF2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10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269AD" w14:textId="58671175" w:rsidR="00001451" w:rsidRDefault="00001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36FD4" w14:textId="77777777" w:rsidR="00512361" w:rsidRDefault="00512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D7EF" w14:textId="09180CC8" w:rsidR="00512361" w:rsidRDefault="005123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6B394B" w14:textId="77777777" w:rsidR="00622F98" w:rsidRDefault="0062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A546" w14:textId="77777777" w:rsidR="00EF2110" w:rsidRDefault="00EF2110" w:rsidP="005747A7">
      <w:r>
        <w:separator/>
      </w:r>
    </w:p>
  </w:footnote>
  <w:footnote w:type="continuationSeparator" w:id="0">
    <w:p w14:paraId="1EA08FDA" w14:textId="77777777" w:rsidR="00EF2110" w:rsidRDefault="00EF2110" w:rsidP="005747A7">
      <w:r>
        <w:continuationSeparator/>
      </w:r>
    </w:p>
  </w:footnote>
  <w:footnote w:type="continuationNotice" w:id="1">
    <w:p w14:paraId="7F94A9FF" w14:textId="77777777" w:rsidR="00EF2110" w:rsidRDefault="00EF2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B704" w14:textId="0C7AF0C9" w:rsidR="00225C26" w:rsidRDefault="00831983">
    <w:pPr>
      <w:pStyle w:val="Header"/>
      <w:jc w:val="center"/>
    </w:pPr>
    <w:r w:rsidRPr="0025137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74087D" wp14:editId="6B7A1BBF">
          <wp:simplePos x="0" y="0"/>
          <wp:positionH relativeFrom="margin">
            <wp:posOffset>4695825</wp:posOffset>
          </wp:positionH>
          <wp:positionV relativeFrom="paragraph">
            <wp:posOffset>-286385</wp:posOffset>
          </wp:positionV>
          <wp:extent cx="2007235" cy="672465"/>
          <wp:effectExtent l="0" t="0" r="0" b="0"/>
          <wp:wrapSquare wrapText="bothSides"/>
          <wp:docPr id="2" name="Picture 2" descr="P:\RTPI Branding\Logos\RTPI master logo\PNG\RTPI 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TPI Branding\Logos\RTPI master logo\PNG\RTPI 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3B8E35" w14:textId="0F1C3D65" w:rsidR="00A40452" w:rsidRDefault="00A40452" w:rsidP="00A40452">
    <w:pPr>
      <w:pStyle w:val="Header"/>
      <w:tabs>
        <w:tab w:val="clear" w:pos="4513"/>
        <w:tab w:val="clear" w:pos="9026"/>
        <w:tab w:val="left" w:pos="38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AAF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4659E"/>
    <w:multiLevelType w:val="hybridMultilevel"/>
    <w:tmpl w:val="755C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15E4"/>
    <w:multiLevelType w:val="hybridMultilevel"/>
    <w:tmpl w:val="FF282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69E"/>
    <w:multiLevelType w:val="hybridMultilevel"/>
    <w:tmpl w:val="8ADA4A7E"/>
    <w:lvl w:ilvl="0" w:tplc="65F4A2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43A1"/>
    <w:multiLevelType w:val="hybridMultilevel"/>
    <w:tmpl w:val="5614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BB1"/>
    <w:multiLevelType w:val="hybridMultilevel"/>
    <w:tmpl w:val="6D7E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17C7E"/>
    <w:multiLevelType w:val="hybridMultilevel"/>
    <w:tmpl w:val="9170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52A8C"/>
    <w:multiLevelType w:val="hybridMultilevel"/>
    <w:tmpl w:val="DF36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2B71"/>
    <w:multiLevelType w:val="hybridMultilevel"/>
    <w:tmpl w:val="7D4E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6DC"/>
    <w:multiLevelType w:val="hybridMultilevel"/>
    <w:tmpl w:val="E29E6674"/>
    <w:lvl w:ilvl="0" w:tplc="C602D892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453B"/>
    <w:multiLevelType w:val="hybridMultilevel"/>
    <w:tmpl w:val="5D7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01F84"/>
    <w:multiLevelType w:val="hybridMultilevel"/>
    <w:tmpl w:val="8782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1DB4"/>
    <w:multiLevelType w:val="hybridMultilevel"/>
    <w:tmpl w:val="917C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72CE"/>
    <w:multiLevelType w:val="hybridMultilevel"/>
    <w:tmpl w:val="3206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8070B"/>
    <w:multiLevelType w:val="hybridMultilevel"/>
    <w:tmpl w:val="C54A2826"/>
    <w:lvl w:ilvl="0" w:tplc="F8323C8A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34786"/>
    <w:multiLevelType w:val="hybridMultilevel"/>
    <w:tmpl w:val="5E58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3ADD"/>
    <w:multiLevelType w:val="hybridMultilevel"/>
    <w:tmpl w:val="CA80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708D6"/>
    <w:multiLevelType w:val="hybridMultilevel"/>
    <w:tmpl w:val="6276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3692F"/>
    <w:multiLevelType w:val="hybridMultilevel"/>
    <w:tmpl w:val="0E683098"/>
    <w:lvl w:ilvl="0" w:tplc="C602D892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50183">
    <w:abstractNumId w:val="0"/>
  </w:num>
  <w:num w:numId="2" w16cid:durableId="729964887">
    <w:abstractNumId w:val="14"/>
  </w:num>
  <w:num w:numId="3" w16cid:durableId="1163014310">
    <w:abstractNumId w:val="17"/>
  </w:num>
  <w:num w:numId="4" w16cid:durableId="1105150888">
    <w:abstractNumId w:val="10"/>
  </w:num>
  <w:num w:numId="5" w16cid:durableId="1593129569">
    <w:abstractNumId w:val="13"/>
  </w:num>
  <w:num w:numId="6" w16cid:durableId="598416567">
    <w:abstractNumId w:val="15"/>
  </w:num>
  <w:num w:numId="7" w16cid:durableId="1105468427">
    <w:abstractNumId w:val="1"/>
  </w:num>
  <w:num w:numId="8" w16cid:durableId="1015349415">
    <w:abstractNumId w:val="11"/>
  </w:num>
  <w:num w:numId="9" w16cid:durableId="107629844">
    <w:abstractNumId w:val="7"/>
  </w:num>
  <w:num w:numId="10" w16cid:durableId="977489926">
    <w:abstractNumId w:val="8"/>
  </w:num>
  <w:num w:numId="11" w16cid:durableId="73403815">
    <w:abstractNumId w:val="2"/>
  </w:num>
  <w:num w:numId="12" w16cid:durableId="968365340">
    <w:abstractNumId w:val="4"/>
  </w:num>
  <w:num w:numId="13" w16cid:durableId="955914800">
    <w:abstractNumId w:val="16"/>
  </w:num>
  <w:num w:numId="14" w16cid:durableId="441271094">
    <w:abstractNumId w:val="12"/>
  </w:num>
  <w:num w:numId="15" w16cid:durableId="651837544">
    <w:abstractNumId w:val="6"/>
  </w:num>
  <w:num w:numId="16" w16cid:durableId="1947468680">
    <w:abstractNumId w:val="5"/>
  </w:num>
  <w:num w:numId="17" w16cid:durableId="1225871437">
    <w:abstractNumId w:val="9"/>
  </w:num>
  <w:num w:numId="18" w16cid:durableId="829251192">
    <w:abstractNumId w:val="18"/>
  </w:num>
  <w:num w:numId="19" w16cid:durableId="15156114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7"/>
    <w:rsid w:val="00001451"/>
    <w:rsid w:val="0000243D"/>
    <w:rsid w:val="00004EF7"/>
    <w:rsid w:val="0000542A"/>
    <w:rsid w:val="00005D95"/>
    <w:rsid w:val="000118F8"/>
    <w:rsid w:val="000164A1"/>
    <w:rsid w:val="00021240"/>
    <w:rsid w:val="00021337"/>
    <w:rsid w:val="000248F6"/>
    <w:rsid w:val="00026751"/>
    <w:rsid w:val="00027121"/>
    <w:rsid w:val="000304E7"/>
    <w:rsid w:val="00032B5B"/>
    <w:rsid w:val="00032EB8"/>
    <w:rsid w:val="00034414"/>
    <w:rsid w:val="0003476E"/>
    <w:rsid w:val="00035A55"/>
    <w:rsid w:val="00036187"/>
    <w:rsid w:val="00040D6B"/>
    <w:rsid w:val="00045D63"/>
    <w:rsid w:val="00046515"/>
    <w:rsid w:val="00051381"/>
    <w:rsid w:val="000529F2"/>
    <w:rsid w:val="00053F11"/>
    <w:rsid w:val="00054EEE"/>
    <w:rsid w:val="00056F4B"/>
    <w:rsid w:val="00056FE5"/>
    <w:rsid w:val="000571BD"/>
    <w:rsid w:val="000573AB"/>
    <w:rsid w:val="00060264"/>
    <w:rsid w:val="00065126"/>
    <w:rsid w:val="00070EE4"/>
    <w:rsid w:val="0007143A"/>
    <w:rsid w:val="000728FF"/>
    <w:rsid w:val="00072B5B"/>
    <w:rsid w:val="00074867"/>
    <w:rsid w:val="000750FE"/>
    <w:rsid w:val="000762F2"/>
    <w:rsid w:val="00083C1B"/>
    <w:rsid w:val="00083DC3"/>
    <w:rsid w:val="00084013"/>
    <w:rsid w:val="000854A4"/>
    <w:rsid w:val="00090573"/>
    <w:rsid w:val="00090672"/>
    <w:rsid w:val="00091ED3"/>
    <w:rsid w:val="000954B9"/>
    <w:rsid w:val="000A00A7"/>
    <w:rsid w:val="000A0B84"/>
    <w:rsid w:val="000A0BCE"/>
    <w:rsid w:val="000B6977"/>
    <w:rsid w:val="000B6FA4"/>
    <w:rsid w:val="000C2366"/>
    <w:rsid w:val="000C524B"/>
    <w:rsid w:val="000C5E97"/>
    <w:rsid w:val="000D0CCC"/>
    <w:rsid w:val="000D38D8"/>
    <w:rsid w:val="000D4A3A"/>
    <w:rsid w:val="000D5B06"/>
    <w:rsid w:val="000D5DC5"/>
    <w:rsid w:val="000D5E53"/>
    <w:rsid w:val="000D5FC5"/>
    <w:rsid w:val="000D61D9"/>
    <w:rsid w:val="000E10AE"/>
    <w:rsid w:val="000E1D58"/>
    <w:rsid w:val="000E299C"/>
    <w:rsid w:val="000E35D9"/>
    <w:rsid w:val="000E595F"/>
    <w:rsid w:val="000E66B0"/>
    <w:rsid w:val="000F3DD0"/>
    <w:rsid w:val="000F53D0"/>
    <w:rsid w:val="001031EF"/>
    <w:rsid w:val="001038FF"/>
    <w:rsid w:val="00103A95"/>
    <w:rsid w:val="00104A57"/>
    <w:rsid w:val="0010684D"/>
    <w:rsid w:val="001107B1"/>
    <w:rsid w:val="00111694"/>
    <w:rsid w:val="00116A11"/>
    <w:rsid w:val="0012418E"/>
    <w:rsid w:val="00134A0B"/>
    <w:rsid w:val="001358F2"/>
    <w:rsid w:val="00135CA3"/>
    <w:rsid w:val="0014029E"/>
    <w:rsid w:val="001424DC"/>
    <w:rsid w:val="0014288A"/>
    <w:rsid w:val="00142B85"/>
    <w:rsid w:val="00143237"/>
    <w:rsid w:val="001439A3"/>
    <w:rsid w:val="00150CF6"/>
    <w:rsid w:val="00151966"/>
    <w:rsid w:val="0016280E"/>
    <w:rsid w:val="0016715D"/>
    <w:rsid w:val="001673B9"/>
    <w:rsid w:val="00171ADC"/>
    <w:rsid w:val="001750F6"/>
    <w:rsid w:val="0017542F"/>
    <w:rsid w:val="00176C4D"/>
    <w:rsid w:val="001813B7"/>
    <w:rsid w:val="001851A5"/>
    <w:rsid w:val="001856D8"/>
    <w:rsid w:val="001865D0"/>
    <w:rsid w:val="001A1174"/>
    <w:rsid w:val="001A128F"/>
    <w:rsid w:val="001A27C2"/>
    <w:rsid w:val="001A43D2"/>
    <w:rsid w:val="001A7519"/>
    <w:rsid w:val="001A7585"/>
    <w:rsid w:val="001A7A9E"/>
    <w:rsid w:val="001B16AD"/>
    <w:rsid w:val="001B28B1"/>
    <w:rsid w:val="001B6BAF"/>
    <w:rsid w:val="001B78D4"/>
    <w:rsid w:val="001C1B1B"/>
    <w:rsid w:val="001C351D"/>
    <w:rsid w:val="001C38C7"/>
    <w:rsid w:val="001C41E4"/>
    <w:rsid w:val="001C44F1"/>
    <w:rsid w:val="001D0CD7"/>
    <w:rsid w:val="001D28D2"/>
    <w:rsid w:val="001D43BD"/>
    <w:rsid w:val="001D535C"/>
    <w:rsid w:val="001D5430"/>
    <w:rsid w:val="001D5FE1"/>
    <w:rsid w:val="001D716E"/>
    <w:rsid w:val="001D788D"/>
    <w:rsid w:val="001D7CE5"/>
    <w:rsid w:val="001E35D6"/>
    <w:rsid w:val="001E3B90"/>
    <w:rsid w:val="001E3B9E"/>
    <w:rsid w:val="001F0A19"/>
    <w:rsid w:val="001F5250"/>
    <w:rsid w:val="00200EC7"/>
    <w:rsid w:val="00200FE3"/>
    <w:rsid w:val="00203F12"/>
    <w:rsid w:val="00204848"/>
    <w:rsid w:val="002100A4"/>
    <w:rsid w:val="00211C91"/>
    <w:rsid w:val="00213DC4"/>
    <w:rsid w:val="00216B20"/>
    <w:rsid w:val="00225C26"/>
    <w:rsid w:val="00225E2E"/>
    <w:rsid w:val="00225E7D"/>
    <w:rsid w:val="00230BF7"/>
    <w:rsid w:val="0023222B"/>
    <w:rsid w:val="0023337E"/>
    <w:rsid w:val="002345EB"/>
    <w:rsid w:val="00234E3E"/>
    <w:rsid w:val="00235BAF"/>
    <w:rsid w:val="002367ED"/>
    <w:rsid w:val="00240FEC"/>
    <w:rsid w:val="0024200C"/>
    <w:rsid w:val="00242F94"/>
    <w:rsid w:val="00243C57"/>
    <w:rsid w:val="002446CA"/>
    <w:rsid w:val="00245E80"/>
    <w:rsid w:val="00246C62"/>
    <w:rsid w:val="00260597"/>
    <w:rsid w:val="00261C0A"/>
    <w:rsid w:val="0027237F"/>
    <w:rsid w:val="002724FE"/>
    <w:rsid w:val="00275FE8"/>
    <w:rsid w:val="002760EF"/>
    <w:rsid w:val="00285278"/>
    <w:rsid w:val="002864DD"/>
    <w:rsid w:val="00287009"/>
    <w:rsid w:val="002930E1"/>
    <w:rsid w:val="00295899"/>
    <w:rsid w:val="002A3A56"/>
    <w:rsid w:val="002A4010"/>
    <w:rsid w:val="002A45B0"/>
    <w:rsid w:val="002A5A13"/>
    <w:rsid w:val="002A7D5D"/>
    <w:rsid w:val="002B4F76"/>
    <w:rsid w:val="002B5FD2"/>
    <w:rsid w:val="002B74C5"/>
    <w:rsid w:val="002C0D97"/>
    <w:rsid w:val="002C2D01"/>
    <w:rsid w:val="002C4F33"/>
    <w:rsid w:val="002C6755"/>
    <w:rsid w:val="002D1950"/>
    <w:rsid w:val="002D55E3"/>
    <w:rsid w:val="002D5EFC"/>
    <w:rsid w:val="002D6F2A"/>
    <w:rsid w:val="002D7EC7"/>
    <w:rsid w:val="002E0DC6"/>
    <w:rsid w:val="002E1E2D"/>
    <w:rsid w:val="002E4CA9"/>
    <w:rsid w:val="002E52B6"/>
    <w:rsid w:val="002E56EB"/>
    <w:rsid w:val="002E6CED"/>
    <w:rsid w:val="002E7540"/>
    <w:rsid w:val="002F0F6B"/>
    <w:rsid w:val="002F15EF"/>
    <w:rsid w:val="002F3442"/>
    <w:rsid w:val="002F66BA"/>
    <w:rsid w:val="002F7CE1"/>
    <w:rsid w:val="0030125D"/>
    <w:rsid w:val="00302181"/>
    <w:rsid w:val="00306379"/>
    <w:rsid w:val="003141F6"/>
    <w:rsid w:val="00315685"/>
    <w:rsid w:val="00315775"/>
    <w:rsid w:val="00315E53"/>
    <w:rsid w:val="00317CD7"/>
    <w:rsid w:val="00321099"/>
    <w:rsid w:val="00324EE0"/>
    <w:rsid w:val="003250E2"/>
    <w:rsid w:val="003257C9"/>
    <w:rsid w:val="00332C60"/>
    <w:rsid w:val="0033366D"/>
    <w:rsid w:val="00335609"/>
    <w:rsid w:val="00337734"/>
    <w:rsid w:val="0034142E"/>
    <w:rsid w:val="00341A30"/>
    <w:rsid w:val="00345700"/>
    <w:rsid w:val="003465C1"/>
    <w:rsid w:val="00352A4E"/>
    <w:rsid w:val="00353A83"/>
    <w:rsid w:val="00354657"/>
    <w:rsid w:val="00356B91"/>
    <w:rsid w:val="00356EB3"/>
    <w:rsid w:val="003570BF"/>
    <w:rsid w:val="003625E6"/>
    <w:rsid w:val="003647FF"/>
    <w:rsid w:val="0036721A"/>
    <w:rsid w:val="003711DB"/>
    <w:rsid w:val="003729F3"/>
    <w:rsid w:val="003746F9"/>
    <w:rsid w:val="0037F63E"/>
    <w:rsid w:val="00380105"/>
    <w:rsid w:val="0038107F"/>
    <w:rsid w:val="003840DE"/>
    <w:rsid w:val="00385F67"/>
    <w:rsid w:val="00386548"/>
    <w:rsid w:val="00386B34"/>
    <w:rsid w:val="00386E9A"/>
    <w:rsid w:val="00392F48"/>
    <w:rsid w:val="0039481D"/>
    <w:rsid w:val="00395020"/>
    <w:rsid w:val="003A3804"/>
    <w:rsid w:val="003A73CD"/>
    <w:rsid w:val="003B0F68"/>
    <w:rsid w:val="003B2CBC"/>
    <w:rsid w:val="003B4757"/>
    <w:rsid w:val="003B4935"/>
    <w:rsid w:val="003C22CD"/>
    <w:rsid w:val="003C2F85"/>
    <w:rsid w:val="003C39E2"/>
    <w:rsid w:val="003C4D03"/>
    <w:rsid w:val="003C5FE8"/>
    <w:rsid w:val="003D0D71"/>
    <w:rsid w:val="003D0F46"/>
    <w:rsid w:val="003D478B"/>
    <w:rsid w:val="003D6CBB"/>
    <w:rsid w:val="003E0274"/>
    <w:rsid w:val="003E2EA5"/>
    <w:rsid w:val="003E429D"/>
    <w:rsid w:val="003E6C69"/>
    <w:rsid w:val="003F0528"/>
    <w:rsid w:val="003F0F45"/>
    <w:rsid w:val="003F3B77"/>
    <w:rsid w:val="003F4F61"/>
    <w:rsid w:val="003F614F"/>
    <w:rsid w:val="003F6BFC"/>
    <w:rsid w:val="0040133A"/>
    <w:rsid w:val="004017BF"/>
    <w:rsid w:val="00405733"/>
    <w:rsid w:val="00406F0C"/>
    <w:rsid w:val="00424E9A"/>
    <w:rsid w:val="004278EC"/>
    <w:rsid w:val="0043130D"/>
    <w:rsid w:val="0043137A"/>
    <w:rsid w:val="004326CE"/>
    <w:rsid w:val="00437A81"/>
    <w:rsid w:val="00437C67"/>
    <w:rsid w:val="00441901"/>
    <w:rsid w:val="0044231C"/>
    <w:rsid w:val="0044795C"/>
    <w:rsid w:val="00447BE3"/>
    <w:rsid w:val="00447F33"/>
    <w:rsid w:val="00450564"/>
    <w:rsid w:val="004519DE"/>
    <w:rsid w:val="00455C83"/>
    <w:rsid w:val="00456902"/>
    <w:rsid w:val="004612BC"/>
    <w:rsid w:val="004616B9"/>
    <w:rsid w:val="004633AD"/>
    <w:rsid w:val="00467E34"/>
    <w:rsid w:val="00467F01"/>
    <w:rsid w:val="00467F3D"/>
    <w:rsid w:val="00471195"/>
    <w:rsid w:val="00471842"/>
    <w:rsid w:val="0047393E"/>
    <w:rsid w:val="0047456C"/>
    <w:rsid w:val="0047685E"/>
    <w:rsid w:val="0047797A"/>
    <w:rsid w:val="00484072"/>
    <w:rsid w:val="00484B73"/>
    <w:rsid w:val="00487397"/>
    <w:rsid w:val="004875AF"/>
    <w:rsid w:val="004914B3"/>
    <w:rsid w:val="00494D3E"/>
    <w:rsid w:val="004A03D8"/>
    <w:rsid w:val="004A0F15"/>
    <w:rsid w:val="004A77EF"/>
    <w:rsid w:val="004B0EE9"/>
    <w:rsid w:val="004B3A54"/>
    <w:rsid w:val="004B3E13"/>
    <w:rsid w:val="004B49A6"/>
    <w:rsid w:val="004B775C"/>
    <w:rsid w:val="004C281E"/>
    <w:rsid w:val="004C37B1"/>
    <w:rsid w:val="004C4BE5"/>
    <w:rsid w:val="004C5A08"/>
    <w:rsid w:val="004C6C13"/>
    <w:rsid w:val="004D1B08"/>
    <w:rsid w:val="004D54CC"/>
    <w:rsid w:val="004E1EDB"/>
    <w:rsid w:val="004E2F7B"/>
    <w:rsid w:val="004E5056"/>
    <w:rsid w:val="004E544D"/>
    <w:rsid w:val="004E54C9"/>
    <w:rsid w:val="004E681D"/>
    <w:rsid w:val="004F0905"/>
    <w:rsid w:val="004F5095"/>
    <w:rsid w:val="004F5371"/>
    <w:rsid w:val="004F76EC"/>
    <w:rsid w:val="005030BD"/>
    <w:rsid w:val="0050335E"/>
    <w:rsid w:val="00503FA1"/>
    <w:rsid w:val="0050606D"/>
    <w:rsid w:val="00512361"/>
    <w:rsid w:val="00512BE2"/>
    <w:rsid w:val="005222A1"/>
    <w:rsid w:val="0052245D"/>
    <w:rsid w:val="0052380B"/>
    <w:rsid w:val="00523BAA"/>
    <w:rsid w:val="00524EF5"/>
    <w:rsid w:val="00530045"/>
    <w:rsid w:val="00535C17"/>
    <w:rsid w:val="00536297"/>
    <w:rsid w:val="00537AD2"/>
    <w:rsid w:val="00537DD5"/>
    <w:rsid w:val="00547FFD"/>
    <w:rsid w:val="005555F5"/>
    <w:rsid w:val="00561CD4"/>
    <w:rsid w:val="00563EC1"/>
    <w:rsid w:val="00565116"/>
    <w:rsid w:val="005667B1"/>
    <w:rsid w:val="00567FB4"/>
    <w:rsid w:val="005710E2"/>
    <w:rsid w:val="00571317"/>
    <w:rsid w:val="00573F7F"/>
    <w:rsid w:val="005747A7"/>
    <w:rsid w:val="00575D49"/>
    <w:rsid w:val="00576D2C"/>
    <w:rsid w:val="00577219"/>
    <w:rsid w:val="00581F27"/>
    <w:rsid w:val="005824DF"/>
    <w:rsid w:val="00584E29"/>
    <w:rsid w:val="00586B9F"/>
    <w:rsid w:val="00587066"/>
    <w:rsid w:val="0059010E"/>
    <w:rsid w:val="005913C6"/>
    <w:rsid w:val="005925AC"/>
    <w:rsid w:val="005928F0"/>
    <w:rsid w:val="005960DD"/>
    <w:rsid w:val="005A13A6"/>
    <w:rsid w:val="005A56D3"/>
    <w:rsid w:val="005A5E59"/>
    <w:rsid w:val="005B26E2"/>
    <w:rsid w:val="005B5539"/>
    <w:rsid w:val="005B5F2F"/>
    <w:rsid w:val="005B7CE0"/>
    <w:rsid w:val="005C5568"/>
    <w:rsid w:val="005C6CF9"/>
    <w:rsid w:val="005C6FA3"/>
    <w:rsid w:val="005D1EAD"/>
    <w:rsid w:val="005D4425"/>
    <w:rsid w:val="005E107D"/>
    <w:rsid w:val="005E2247"/>
    <w:rsid w:val="005E24E6"/>
    <w:rsid w:val="005E257B"/>
    <w:rsid w:val="005E2C2E"/>
    <w:rsid w:val="005E3520"/>
    <w:rsid w:val="005E40BC"/>
    <w:rsid w:val="005F1B63"/>
    <w:rsid w:val="005F225B"/>
    <w:rsid w:val="005F5982"/>
    <w:rsid w:val="0060035D"/>
    <w:rsid w:val="0060064D"/>
    <w:rsid w:val="006060DD"/>
    <w:rsid w:val="006152A4"/>
    <w:rsid w:val="00615861"/>
    <w:rsid w:val="00617E02"/>
    <w:rsid w:val="0062123E"/>
    <w:rsid w:val="00621922"/>
    <w:rsid w:val="00622F98"/>
    <w:rsid w:val="00623143"/>
    <w:rsid w:val="00626599"/>
    <w:rsid w:val="0063025C"/>
    <w:rsid w:val="006330E2"/>
    <w:rsid w:val="006361E4"/>
    <w:rsid w:val="006424F3"/>
    <w:rsid w:val="006467B7"/>
    <w:rsid w:val="00646A8F"/>
    <w:rsid w:val="00651ACB"/>
    <w:rsid w:val="00655A79"/>
    <w:rsid w:val="00655D89"/>
    <w:rsid w:val="0065624B"/>
    <w:rsid w:val="0066033A"/>
    <w:rsid w:val="00661C00"/>
    <w:rsid w:val="0066295F"/>
    <w:rsid w:val="00663651"/>
    <w:rsid w:val="00667B86"/>
    <w:rsid w:val="00667F6C"/>
    <w:rsid w:val="0067296D"/>
    <w:rsid w:val="0067580C"/>
    <w:rsid w:val="00675A7E"/>
    <w:rsid w:val="00677D4A"/>
    <w:rsid w:val="00680A47"/>
    <w:rsid w:val="0068121A"/>
    <w:rsid w:val="00685D5B"/>
    <w:rsid w:val="00686896"/>
    <w:rsid w:val="00692316"/>
    <w:rsid w:val="0069258D"/>
    <w:rsid w:val="00695D65"/>
    <w:rsid w:val="00697DF3"/>
    <w:rsid w:val="006A07D0"/>
    <w:rsid w:val="006A55BF"/>
    <w:rsid w:val="006A5D3A"/>
    <w:rsid w:val="006B091F"/>
    <w:rsid w:val="006B3BFD"/>
    <w:rsid w:val="006B4C4E"/>
    <w:rsid w:val="006B78FC"/>
    <w:rsid w:val="006C1900"/>
    <w:rsid w:val="006C1A5A"/>
    <w:rsid w:val="006C4D52"/>
    <w:rsid w:val="006C55EB"/>
    <w:rsid w:val="006C70FD"/>
    <w:rsid w:val="006D20E6"/>
    <w:rsid w:val="006D4ADF"/>
    <w:rsid w:val="006D53DA"/>
    <w:rsid w:val="006D56E3"/>
    <w:rsid w:val="006D6C39"/>
    <w:rsid w:val="006D7083"/>
    <w:rsid w:val="006E17A6"/>
    <w:rsid w:val="006E1B11"/>
    <w:rsid w:val="006E2E39"/>
    <w:rsid w:val="006E3064"/>
    <w:rsid w:val="006E68A8"/>
    <w:rsid w:val="006F20DF"/>
    <w:rsid w:val="006F6A4B"/>
    <w:rsid w:val="006F72DD"/>
    <w:rsid w:val="007053E8"/>
    <w:rsid w:val="00707AC8"/>
    <w:rsid w:val="00710626"/>
    <w:rsid w:val="0071161F"/>
    <w:rsid w:val="00717CD5"/>
    <w:rsid w:val="0072062E"/>
    <w:rsid w:val="00722A9E"/>
    <w:rsid w:val="007301C8"/>
    <w:rsid w:val="007312BB"/>
    <w:rsid w:val="00731BA5"/>
    <w:rsid w:val="007322FC"/>
    <w:rsid w:val="00733D54"/>
    <w:rsid w:val="007348C8"/>
    <w:rsid w:val="00752FEC"/>
    <w:rsid w:val="00757E67"/>
    <w:rsid w:val="007624B4"/>
    <w:rsid w:val="00765A15"/>
    <w:rsid w:val="007662D7"/>
    <w:rsid w:val="00767806"/>
    <w:rsid w:val="0076784C"/>
    <w:rsid w:val="007678BA"/>
    <w:rsid w:val="007741E8"/>
    <w:rsid w:val="007754E0"/>
    <w:rsid w:val="007760D2"/>
    <w:rsid w:val="00776D87"/>
    <w:rsid w:val="00777A95"/>
    <w:rsid w:val="00777E29"/>
    <w:rsid w:val="00777E5A"/>
    <w:rsid w:val="00783916"/>
    <w:rsid w:val="00785422"/>
    <w:rsid w:val="007877F7"/>
    <w:rsid w:val="007918A7"/>
    <w:rsid w:val="0079391F"/>
    <w:rsid w:val="00795522"/>
    <w:rsid w:val="00795F9D"/>
    <w:rsid w:val="00796C72"/>
    <w:rsid w:val="007A018E"/>
    <w:rsid w:val="007A1F8D"/>
    <w:rsid w:val="007A2026"/>
    <w:rsid w:val="007A3A85"/>
    <w:rsid w:val="007A3B45"/>
    <w:rsid w:val="007A6A87"/>
    <w:rsid w:val="007A6D06"/>
    <w:rsid w:val="007B1F22"/>
    <w:rsid w:val="007B2514"/>
    <w:rsid w:val="007B541F"/>
    <w:rsid w:val="007C0B99"/>
    <w:rsid w:val="007C434E"/>
    <w:rsid w:val="007D0097"/>
    <w:rsid w:val="007D0D4A"/>
    <w:rsid w:val="007D5E45"/>
    <w:rsid w:val="007E14D4"/>
    <w:rsid w:val="007E29B5"/>
    <w:rsid w:val="007E4F8A"/>
    <w:rsid w:val="007E64B9"/>
    <w:rsid w:val="007E76FE"/>
    <w:rsid w:val="007F0FB6"/>
    <w:rsid w:val="007F3C74"/>
    <w:rsid w:val="007F4720"/>
    <w:rsid w:val="007F6B3A"/>
    <w:rsid w:val="007F7427"/>
    <w:rsid w:val="00802DEC"/>
    <w:rsid w:val="00803B44"/>
    <w:rsid w:val="00805C67"/>
    <w:rsid w:val="008109CF"/>
    <w:rsid w:val="008117A2"/>
    <w:rsid w:val="00811DCB"/>
    <w:rsid w:val="008135CF"/>
    <w:rsid w:val="00813F3B"/>
    <w:rsid w:val="00820D38"/>
    <w:rsid w:val="008217F7"/>
    <w:rsid w:val="00823054"/>
    <w:rsid w:val="008270C2"/>
    <w:rsid w:val="0082714A"/>
    <w:rsid w:val="00830FDA"/>
    <w:rsid w:val="00831983"/>
    <w:rsid w:val="00832B8C"/>
    <w:rsid w:val="00833517"/>
    <w:rsid w:val="00840D0C"/>
    <w:rsid w:val="0084193E"/>
    <w:rsid w:val="00846F84"/>
    <w:rsid w:val="0084708E"/>
    <w:rsid w:val="008508BC"/>
    <w:rsid w:val="00852029"/>
    <w:rsid w:val="00854F1B"/>
    <w:rsid w:val="0085532C"/>
    <w:rsid w:val="0085633D"/>
    <w:rsid w:val="0085E527"/>
    <w:rsid w:val="00860ABF"/>
    <w:rsid w:val="008651E0"/>
    <w:rsid w:val="008652BB"/>
    <w:rsid w:val="008660EA"/>
    <w:rsid w:val="008724A7"/>
    <w:rsid w:val="008731E5"/>
    <w:rsid w:val="008754CB"/>
    <w:rsid w:val="008755DF"/>
    <w:rsid w:val="00882E43"/>
    <w:rsid w:val="00885962"/>
    <w:rsid w:val="0088619E"/>
    <w:rsid w:val="00887FDC"/>
    <w:rsid w:val="00890FC7"/>
    <w:rsid w:val="00891702"/>
    <w:rsid w:val="008935F3"/>
    <w:rsid w:val="00894351"/>
    <w:rsid w:val="008966F4"/>
    <w:rsid w:val="00896DD5"/>
    <w:rsid w:val="008A3D00"/>
    <w:rsid w:val="008A5BB4"/>
    <w:rsid w:val="008B2EEE"/>
    <w:rsid w:val="008B40F5"/>
    <w:rsid w:val="008B41B0"/>
    <w:rsid w:val="008B44CD"/>
    <w:rsid w:val="008B4601"/>
    <w:rsid w:val="008B5BCC"/>
    <w:rsid w:val="008B6363"/>
    <w:rsid w:val="008C27CF"/>
    <w:rsid w:val="008C6745"/>
    <w:rsid w:val="008C685F"/>
    <w:rsid w:val="008C6A9C"/>
    <w:rsid w:val="008D35FA"/>
    <w:rsid w:val="008D397C"/>
    <w:rsid w:val="008D40C7"/>
    <w:rsid w:val="008D6B6F"/>
    <w:rsid w:val="008D7097"/>
    <w:rsid w:val="008E4A6F"/>
    <w:rsid w:val="008E5F6E"/>
    <w:rsid w:val="008E6A7E"/>
    <w:rsid w:val="008E6BF2"/>
    <w:rsid w:val="008F2973"/>
    <w:rsid w:val="008F3B3E"/>
    <w:rsid w:val="008F50A9"/>
    <w:rsid w:val="008F66BA"/>
    <w:rsid w:val="00900646"/>
    <w:rsid w:val="009026D3"/>
    <w:rsid w:val="00902CEA"/>
    <w:rsid w:val="0090329C"/>
    <w:rsid w:val="00913394"/>
    <w:rsid w:val="009146ED"/>
    <w:rsid w:val="0091609D"/>
    <w:rsid w:val="009165CB"/>
    <w:rsid w:val="00920253"/>
    <w:rsid w:val="009208B0"/>
    <w:rsid w:val="00920F5F"/>
    <w:rsid w:val="009217B8"/>
    <w:rsid w:val="00922F3D"/>
    <w:rsid w:val="00925811"/>
    <w:rsid w:val="00930B4D"/>
    <w:rsid w:val="009322F5"/>
    <w:rsid w:val="00932871"/>
    <w:rsid w:val="00934DDB"/>
    <w:rsid w:val="00937A6E"/>
    <w:rsid w:val="0094152C"/>
    <w:rsid w:val="00945122"/>
    <w:rsid w:val="009502F9"/>
    <w:rsid w:val="009563A3"/>
    <w:rsid w:val="0096400A"/>
    <w:rsid w:val="00964BE7"/>
    <w:rsid w:val="009709F3"/>
    <w:rsid w:val="00972086"/>
    <w:rsid w:val="00972A63"/>
    <w:rsid w:val="00982F50"/>
    <w:rsid w:val="00983D22"/>
    <w:rsid w:val="0098573E"/>
    <w:rsid w:val="0098713C"/>
    <w:rsid w:val="0098780B"/>
    <w:rsid w:val="009905DF"/>
    <w:rsid w:val="009914FC"/>
    <w:rsid w:val="0099380B"/>
    <w:rsid w:val="009959D4"/>
    <w:rsid w:val="0099634A"/>
    <w:rsid w:val="00996446"/>
    <w:rsid w:val="009A03E5"/>
    <w:rsid w:val="009A1BF6"/>
    <w:rsid w:val="009A2C91"/>
    <w:rsid w:val="009A5EAA"/>
    <w:rsid w:val="009A6A08"/>
    <w:rsid w:val="009A763D"/>
    <w:rsid w:val="009A7981"/>
    <w:rsid w:val="009B0B4C"/>
    <w:rsid w:val="009B27A3"/>
    <w:rsid w:val="009B34D4"/>
    <w:rsid w:val="009B3967"/>
    <w:rsid w:val="009B765B"/>
    <w:rsid w:val="009C0BF6"/>
    <w:rsid w:val="009C378C"/>
    <w:rsid w:val="009C39C2"/>
    <w:rsid w:val="009D085A"/>
    <w:rsid w:val="009D11C5"/>
    <w:rsid w:val="009D189F"/>
    <w:rsid w:val="009D25CE"/>
    <w:rsid w:val="009D28A6"/>
    <w:rsid w:val="009D3137"/>
    <w:rsid w:val="009D3488"/>
    <w:rsid w:val="009D3EB3"/>
    <w:rsid w:val="009D7617"/>
    <w:rsid w:val="009E1137"/>
    <w:rsid w:val="009E2260"/>
    <w:rsid w:val="009E2847"/>
    <w:rsid w:val="009E2971"/>
    <w:rsid w:val="009E32BD"/>
    <w:rsid w:val="009E342B"/>
    <w:rsid w:val="009E4EA2"/>
    <w:rsid w:val="009E5261"/>
    <w:rsid w:val="009E6319"/>
    <w:rsid w:val="009E6543"/>
    <w:rsid w:val="009F1C5A"/>
    <w:rsid w:val="009F56D1"/>
    <w:rsid w:val="00A019BA"/>
    <w:rsid w:val="00A030D8"/>
    <w:rsid w:val="00A03777"/>
    <w:rsid w:val="00A06EDA"/>
    <w:rsid w:val="00A1067D"/>
    <w:rsid w:val="00A136B6"/>
    <w:rsid w:val="00A14AA3"/>
    <w:rsid w:val="00A17D62"/>
    <w:rsid w:val="00A204F6"/>
    <w:rsid w:val="00A22235"/>
    <w:rsid w:val="00A22FBD"/>
    <w:rsid w:val="00A26321"/>
    <w:rsid w:val="00A27586"/>
    <w:rsid w:val="00A27AF5"/>
    <w:rsid w:val="00A326BD"/>
    <w:rsid w:val="00A327D2"/>
    <w:rsid w:val="00A3750D"/>
    <w:rsid w:val="00A37535"/>
    <w:rsid w:val="00A40452"/>
    <w:rsid w:val="00A40985"/>
    <w:rsid w:val="00A432EE"/>
    <w:rsid w:val="00A44AD7"/>
    <w:rsid w:val="00A45A58"/>
    <w:rsid w:val="00A4624D"/>
    <w:rsid w:val="00A51309"/>
    <w:rsid w:val="00A5176E"/>
    <w:rsid w:val="00A51AD3"/>
    <w:rsid w:val="00A5268C"/>
    <w:rsid w:val="00A52CA6"/>
    <w:rsid w:val="00A61333"/>
    <w:rsid w:val="00A621F0"/>
    <w:rsid w:val="00A6316D"/>
    <w:rsid w:val="00A67A60"/>
    <w:rsid w:val="00A84B98"/>
    <w:rsid w:val="00A86892"/>
    <w:rsid w:val="00A87B7B"/>
    <w:rsid w:val="00A87B99"/>
    <w:rsid w:val="00A92360"/>
    <w:rsid w:val="00A92F57"/>
    <w:rsid w:val="00A94FAF"/>
    <w:rsid w:val="00A95A27"/>
    <w:rsid w:val="00A95D31"/>
    <w:rsid w:val="00AA19A0"/>
    <w:rsid w:val="00AA2B76"/>
    <w:rsid w:val="00AA2BDD"/>
    <w:rsid w:val="00AA425D"/>
    <w:rsid w:val="00AA533A"/>
    <w:rsid w:val="00AA6767"/>
    <w:rsid w:val="00AA76BC"/>
    <w:rsid w:val="00AA7DA3"/>
    <w:rsid w:val="00AB105A"/>
    <w:rsid w:val="00AB1BED"/>
    <w:rsid w:val="00AB2286"/>
    <w:rsid w:val="00AB5EDA"/>
    <w:rsid w:val="00AB65AF"/>
    <w:rsid w:val="00AC10BC"/>
    <w:rsid w:val="00AC2322"/>
    <w:rsid w:val="00AC72D7"/>
    <w:rsid w:val="00AD0F39"/>
    <w:rsid w:val="00AD6437"/>
    <w:rsid w:val="00AD77BE"/>
    <w:rsid w:val="00AD7DCA"/>
    <w:rsid w:val="00AE0D86"/>
    <w:rsid w:val="00AE198E"/>
    <w:rsid w:val="00AE1E65"/>
    <w:rsid w:val="00AE22A1"/>
    <w:rsid w:val="00AE31DA"/>
    <w:rsid w:val="00AE670B"/>
    <w:rsid w:val="00AE6A5F"/>
    <w:rsid w:val="00AF1956"/>
    <w:rsid w:val="00AF3B98"/>
    <w:rsid w:val="00B00744"/>
    <w:rsid w:val="00B025EA"/>
    <w:rsid w:val="00B03A24"/>
    <w:rsid w:val="00B057CB"/>
    <w:rsid w:val="00B0738F"/>
    <w:rsid w:val="00B1336C"/>
    <w:rsid w:val="00B154ED"/>
    <w:rsid w:val="00B2317A"/>
    <w:rsid w:val="00B24A1B"/>
    <w:rsid w:val="00B32EBA"/>
    <w:rsid w:val="00B331FA"/>
    <w:rsid w:val="00B33E74"/>
    <w:rsid w:val="00B3492F"/>
    <w:rsid w:val="00B36B9C"/>
    <w:rsid w:val="00B42AD2"/>
    <w:rsid w:val="00B43B6E"/>
    <w:rsid w:val="00B4406C"/>
    <w:rsid w:val="00B45AF5"/>
    <w:rsid w:val="00B46900"/>
    <w:rsid w:val="00B50A32"/>
    <w:rsid w:val="00B51403"/>
    <w:rsid w:val="00B514D2"/>
    <w:rsid w:val="00B5537B"/>
    <w:rsid w:val="00B5748C"/>
    <w:rsid w:val="00B61593"/>
    <w:rsid w:val="00B6310D"/>
    <w:rsid w:val="00B65BE0"/>
    <w:rsid w:val="00B66480"/>
    <w:rsid w:val="00B666C7"/>
    <w:rsid w:val="00B670F0"/>
    <w:rsid w:val="00B704BC"/>
    <w:rsid w:val="00B70ABF"/>
    <w:rsid w:val="00B719A6"/>
    <w:rsid w:val="00B76EEC"/>
    <w:rsid w:val="00B81ADA"/>
    <w:rsid w:val="00B84323"/>
    <w:rsid w:val="00B86E0A"/>
    <w:rsid w:val="00B87656"/>
    <w:rsid w:val="00B913EE"/>
    <w:rsid w:val="00B91DCF"/>
    <w:rsid w:val="00B92352"/>
    <w:rsid w:val="00B934E7"/>
    <w:rsid w:val="00B93B3B"/>
    <w:rsid w:val="00B95142"/>
    <w:rsid w:val="00B97569"/>
    <w:rsid w:val="00B97C2B"/>
    <w:rsid w:val="00BA0AC9"/>
    <w:rsid w:val="00BA2582"/>
    <w:rsid w:val="00BA6FF2"/>
    <w:rsid w:val="00BA74D4"/>
    <w:rsid w:val="00BB0787"/>
    <w:rsid w:val="00BB293F"/>
    <w:rsid w:val="00BB3064"/>
    <w:rsid w:val="00BB4D9F"/>
    <w:rsid w:val="00BB527B"/>
    <w:rsid w:val="00BC160C"/>
    <w:rsid w:val="00BC1750"/>
    <w:rsid w:val="00BC79B4"/>
    <w:rsid w:val="00BD0E0A"/>
    <w:rsid w:val="00BD2AB5"/>
    <w:rsid w:val="00BD3026"/>
    <w:rsid w:val="00BD6CB7"/>
    <w:rsid w:val="00BE2656"/>
    <w:rsid w:val="00BE360B"/>
    <w:rsid w:val="00BE603A"/>
    <w:rsid w:val="00BE7383"/>
    <w:rsid w:val="00BE7F2E"/>
    <w:rsid w:val="00BF2B19"/>
    <w:rsid w:val="00BF3048"/>
    <w:rsid w:val="00BF4557"/>
    <w:rsid w:val="00BF48B4"/>
    <w:rsid w:val="00BF5CB5"/>
    <w:rsid w:val="00C00051"/>
    <w:rsid w:val="00C005AE"/>
    <w:rsid w:val="00C0075F"/>
    <w:rsid w:val="00C026E2"/>
    <w:rsid w:val="00C0354F"/>
    <w:rsid w:val="00C05363"/>
    <w:rsid w:val="00C05D04"/>
    <w:rsid w:val="00C11484"/>
    <w:rsid w:val="00C12CA6"/>
    <w:rsid w:val="00C135BA"/>
    <w:rsid w:val="00C13841"/>
    <w:rsid w:val="00C14997"/>
    <w:rsid w:val="00C161CB"/>
    <w:rsid w:val="00C16C63"/>
    <w:rsid w:val="00C20AC8"/>
    <w:rsid w:val="00C21C43"/>
    <w:rsid w:val="00C30ED4"/>
    <w:rsid w:val="00C321B5"/>
    <w:rsid w:val="00C36488"/>
    <w:rsid w:val="00C41AFD"/>
    <w:rsid w:val="00C42F64"/>
    <w:rsid w:val="00C43094"/>
    <w:rsid w:val="00C45AD3"/>
    <w:rsid w:val="00C5165F"/>
    <w:rsid w:val="00C527F7"/>
    <w:rsid w:val="00C56940"/>
    <w:rsid w:val="00C6011F"/>
    <w:rsid w:val="00C63006"/>
    <w:rsid w:val="00C6462F"/>
    <w:rsid w:val="00C65609"/>
    <w:rsid w:val="00C6775D"/>
    <w:rsid w:val="00C677CB"/>
    <w:rsid w:val="00C70061"/>
    <w:rsid w:val="00C74974"/>
    <w:rsid w:val="00C75D46"/>
    <w:rsid w:val="00C7631F"/>
    <w:rsid w:val="00C77188"/>
    <w:rsid w:val="00C803F6"/>
    <w:rsid w:val="00C82177"/>
    <w:rsid w:val="00C82D99"/>
    <w:rsid w:val="00C82FDD"/>
    <w:rsid w:val="00C83FAE"/>
    <w:rsid w:val="00C84D12"/>
    <w:rsid w:val="00C851DD"/>
    <w:rsid w:val="00C854C4"/>
    <w:rsid w:val="00C91BFF"/>
    <w:rsid w:val="00C921F7"/>
    <w:rsid w:val="00C92398"/>
    <w:rsid w:val="00C96896"/>
    <w:rsid w:val="00CA1D03"/>
    <w:rsid w:val="00CA22DA"/>
    <w:rsid w:val="00CA493F"/>
    <w:rsid w:val="00CB04CB"/>
    <w:rsid w:val="00CB0C3F"/>
    <w:rsid w:val="00CB1FC1"/>
    <w:rsid w:val="00CB2AF0"/>
    <w:rsid w:val="00CB55AD"/>
    <w:rsid w:val="00CB5F4E"/>
    <w:rsid w:val="00CB6D7A"/>
    <w:rsid w:val="00CB756F"/>
    <w:rsid w:val="00CC1686"/>
    <w:rsid w:val="00CC3155"/>
    <w:rsid w:val="00CC52E8"/>
    <w:rsid w:val="00CD22A1"/>
    <w:rsid w:val="00CE3FF0"/>
    <w:rsid w:val="00CF3C40"/>
    <w:rsid w:val="00CF5C40"/>
    <w:rsid w:val="00CF6D2E"/>
    <w:rsid w:val="00CF74C4"/>
    <w:rsid w:val="00CF77DE"/>
    <w:rsid w:val="00D00917"/>
    <w:rsid w:val="00D014E2"/>
    <w:rsid w:val="00D03E9F"/>
    <w:rsid w:val="00D1019F"/>
    <w:rsid w:val="00D129C7"/>
    <w:rsid w:val="00D13478"/>
    <w:rsid w:val="00D16E0B"/>
    <w:rsid w:val="00D26132"/>
    <w:rsid w:val="00D31AE9"/>
    <w:rsid w:val="00D31FA9"/>
    <w:rsid w:val="00D33459"/>
    <w:rsid w:val="00D34729"/>
    <w:rsid w:val="00D36EE8"/>
    <w:rsid w:val="00D36F19"/>
    <w:rsid w:val="00D412DF"/>
    <w:rsid w:val="00D459F6"/>
    <w:rsid w:val="00D46337"/>
    <w:rsid w:val="00D51C8C"/>
    <w:rsid w:val="00D51FEF"/>
    <w:rsid w:val="00D5567F"/>
    <w:rsid w:val="00D55F13"/>
    <w:rsid w:val="00D62241"/>
    <w:rsid w:val="00D65F57"/>
    <w:rsid w:val="00D70543"/>
    <w:rsid w:val="00D7322B"/>
    <w:rsid w:val="00D81EEF"/>
    <w:rsid w:val="00D84DBE"/>
    <w:rsid w:val="00D8795D"/>
    <w:rsid w:val="00D91DFD"/>
    <w:rsid w:val="00D91EDB"/>
    <w:rsid w:val="00D93F45"/>
    <w:rsid w:val="00D95765"/>
    <w:rsid w:val="00D96C4A"/>
    <w:rsid w:val="00D96EFC"/>
    <w:rsid w:val="00DA1CD8"/>
    <w:rsid w:val="00DA45F6"/>
    <w:rsid w:val="00DA4FA9"/>
    <w:rsid w:val="00DB2132"/>
    <w:rsid w:val="00DB3997"/>
    <w:rsid w:val="00DB58AC"/>
    <w:rsid w:val="00DC0F5D"/>
    <w:rsid w:val="00DC112D"/>
    <w:rsid w:val="00DC2649"/>
    <w:rsid w:val="00DC399D"/>
    <w:rsid w:val="00DD3F77"/>
    <w:rsid w:val="00DD5177"/>
    <w:rsid w:val="00DD5B7D"/>
    <w:rsid w:val="00DE1B64"/>
    <w:rsid w:val="00DE3144"/>
    <w:rsid w:val="00DE3909"/>
    <w:rsid w:val="00DE3A3E"/>
    <w:rsid w:val="00DE71E7"/>
    <w:rsid w:val="00DF0CF1"/>
    <w:rsid w:val="00DF1980"/>
    <w:rsid w:val="00DF3DD1"/>
    <w:rsid w:val="00DF5B0F"/>
    <w:rsid w:val="00DF679B"/>
    <w:rsid w:val="00E00086"/>
    <w:rsid w:val="00E01FD1"/>
    <w:rsid w:val="00E057D9"/>
    <w:rsid w:val="00E06331"/>
    <w:rsid w:val="00E06DA8"/>
    <w:rsid w:val="00E1078C"/>
    <w:rsid w:val="00E15C8E"/>
    <w:rsid w:val="00E179F9"/>
    <w:rsid w:val="00E17D07"/>
    <w:rsid w:val="00E21B80"/>
    <w:rsid w:val="00E22A5C"/>
    <w:rsid w:val="00E23885"/>
    <w:rsid w:val="00E2516D"/>
    <w:rsid w:val="00E268E3"/>
    <w:rsid w:val="00E27016"/>
    <w:rsid w:val="00E2748E"/>
    <w:rsid w:val="00E315C4"/>
    <w:rsid w:val="00E35444"/>
    <w:rsid w:val="00E41AB3"/>
    <w:rsid w:val="00E429F5"/>
    <w:rsid w:val="00E452D2"/>
    <w:rsid w:val="00E46BED"/>
    <w:rsid w:val="00E46DA3"/>
    <w:rsid w:val="00E47E20"/>
    <w:rsid w:val="00E47F1E"/>
    <w:rsid w:val="00E51179"/>
    <w:rsid w:val="00E52617"/>
    <w:rsid w:val="00E57BD3"/>
    <w:rsid w:val="00E617E4"/>
    <w:rsid w:val="00E62B1E"/>
    <w:rsid w:val="00E65276"/>
    <w:rsid w:val="00E6618F"/>
    <w:rsid w:val="00E66662"/>
    <w:rsid w:val="00E67EFD"/>
    <w:rsid w:val="00E7064A"/>
    <w:rsid w:val="00E71361"/>
    <w:rsid w:val="00E71700"/>
    <w:rsid w:val="00E7219A"/>
    <w:rsid w:val="00E8084A"/>
    <w:rsid w:val="00E838E4"/>
    <w:rsid w:val="00E84984"/>
    <w:rsid w:val="00E8665E"/>
    <w:rsid w:val="00E868BA"/>
    <w:rsid w:val="00E92C9E"/>
    <w:rsid w:val="00E93384"/>
    <w:rsid w:val="00E9339B"/>
    <w:rsid w:val="00E94F28"/>
    <w:rsid w:val="00E954F3"/>
    <w:rsid w:val="00E963A4"/>
    <w:rsid w:val="00E975C0"/>
    <w:rsid w:val="00EA0931"/>
    <w:rsid w:val="00EA2137"/>
    <w:rsid w:val="00EA268A"/>
    <w:rsid w:val="00EB0C1A"/>
    <w:rsid w:val="00EB4034"/>
    <w:rsid w:val="00EB537B"/>
    <w:rsid w:val="00EB5D5F"/>
    <w:rsid w:val="00EB6993"/>
    <w:rsid w:val="00EB6B67"/>
    <w:rsid w:val="00EC0124"/>
    <w:rsid w:val="00EC3C8C"/>
    <w:rsid w:val="00EC50F0"/>
    <w:rsid w:val="00EC5866"/>
    <w:rsid w:val="00ED2D81"/>
    <w:rsid w:val="00ED5224"/>
    <w:rsid w:val="00EE1681"/>
    <w:rsid w:val="00EE7FCB"/>
    <w:rsid w:val="00EF0E01"/>
    <w:rsid w:val="00EF2110"/>
    <w:rsid w:val="00EF45C7"/>
    <w:rsid w:val="00EF5544"/>
    <w:rsid w:val="00EF7396"/>
    <w:rsid w:val="00F029A0"/>
    <w:rsid w:val="00F03872"/>
    <w:rsid w:val="00F03BD0"/>
    <w:rsid w:val="00F07578"/>
    <w:rsid w:val="00F133EB"/>
    <w:rsid w:val="00F17224"/>
    <w:rsid w:val="00F25EA7"/>
    <w:rsid w:val="00F30317"/>
    <w:rsid w:val="00F30673"/>
    <w:rsid w:val="00F32D66"/>
    <w:rsid w:val="00F33B7B"/>
    <w:rsid w:val="00F33BB9"/>
    <w:rsid w:val="00F346BB"/>
    <w:rsid w:val="00F420AB"/>
    <w:rsid w:val="00F53892"/>
    <w:rsid w:val="00F541E4"/>
    <w:rsid w:val="00F54FB1"/>
    <w:rsid w:val="00F56884"/>
    <w:rsid w:val="00F56E45"/>
    <w:rsid w:val="00F63A3E"/>
    <w:rsid w:val="00F66770"/>
    <w:rsid w:val="00F66D78"/>
    <w:rsid w:val="00F70302"/>
    <w:rsid w:val="00F70922"/>
    <w:rsid w:val="00F71AD7"/>
    <w:rsid w:val="00F729CF"/>
    <w:rsid w:val="00F72DD8"/>
    <w:rsid w:val="00F755F6"/>
    <w:rsid w:val="00F762DE"/>
    <w:rsid w:val="00F77CBC"/>
    <w:rsid w:val="00F81013"/>
    <w:rsid w:val="00F8107D"/>
    <w:rsid w:val="00F82B9F"/>
    <w:rsid w:val="00F830C5"/>
    <w:rsid w:val="00F850BA"/>
    <w:rsid w:val="00F91115"/>
    <w:rsid w:val="00F91BCA"/>
    <w:rsid w:val="00F92A31"/>
    <w:rsid w:val="00F96AFE"/>
    <w:rsid w:val="00FA3A30"/>
    <w:rsid w:val="00FA447B"/>
    <w:rsid w:val="00FA7297"/>
    <w:rsid w:val="00FB1F3A"/>
    <w:rsid w:val="00FB4A4D"/>
    <w:rsid w:val="00FB7E2F"/>
    <w:rsid w:val="00FC1823"/>
    <w:rsid w:val="00FC2C19"/>
    <w:rsid w:val="00FC784F"/>
    <w:rsid w:val="00FD0EB6"/>
    <w:rsid w:val="00FD48F4"/>
    <w:rsid w:val="00FD7D85"/>
    <w:rsid w:val="00FE0B54"/>
    <w:rsid w:val="00FE18DF"/>
    <w:rsid w:val="00FE2514"/>
    <w:rsid w:val="00FE4141"/>
    <w:rsid w:val="00FE46B1"/>
    <w:rsid w:val="00FE4BD2"/>
    <w:rsid w:val="00FE5466"/>
    <w:rsid w:val="00FE5A7A"/>
    <w:rsid w:val="00FE5B06"/>
    <w:rsid w:val="00FF09CC"/>
    <w:rsid w:val="00FF1F6E"/>
    <w:rsid w:val="00FF4925"/>
    <w:rsid w:val="021C1692"/>
    <w:rsid w:val="02A01926"/>
    <w:rsid w:val="02CB84A6"/>
    <w:rsid w:val="037256CF"/>
    <w:rsid w:val="0447E228"/>
    <w:rsid w:val="044D962D"/>
    <w:rsid w:val="04EC1D26"/>
    <w:rsid w:val="06150572"/>
    <w:rsid w:val="0622664C"/>
    <w:rsid w:val="06F6F2F3"/>
    <w:rsid w:val="0747F3E1"/>
    <w:rsid w:val="07C664A0"/>
    <w:rsid w:val="084CECEC"/>
    <w:rsid w:val="089C38DE"/>
    <w:rsid w:val="08CC5E89"/>
    <w:rsid w:val="09F2866B"/>
    <w:rsid w:val="0B08428A"/>
    <w:rsid w:val="0BF8EA97"/>
    <w:rsid w:val="0C9AA9A9"/>
    <w:rsid w:val="0D5AB084"/>
    <w:rsid w:val="0DE30ACB"/>
    <w:rsid w:val="0E4AC01E"/>
    <w:rsid w:val="0E6C2E60"/>
    <w:rsid w:val="0E74808D"/>
    <w:rsid w:val="0ED68EC0"/>
    <w:rsid w:val="0EFED312"/>
    <w:rsid w:val="0F7EC04E"/>
    <w:rsid w:val="10093B03"/>
    <w:rsid w:val="1027B2E3"/>
    <w:rsid w:val="10990FDC"/>
    <w:rsid w:val="11F4E17C"/>
    <w:rsid w:val="122BF793"/>
    <w:rsid w:val="12B7DDAF"/>
    <w:rsid w:val="132E0005"/>
    <w:rsid w:val="13B7B07A"/>
    <w:rsid w:val="1435B517"/>
    <w:rsid w:val="14E0CDB4"/>
    <w:rsid w:val="15A73FDC"/>
    <w:rsid w:val="1635832E"/>
    <w:rsid w:val="164C13C3"/>
    <w:rsid w:val="1664C14E"/>
    <w:rsid w:val="16827C37"/>
    <w:rsid w:val="16CF430B"/>
    <w:rsid w:val="172F141D"/>
    <w:rsid w:val="17CE5FC3"/>
    <w:rsid w:val="1818F57F"/>
    <w:rsid w:val="184E7CDB"/>
    <w:rsid w:val="1879768C"/>
    <w:rsid w:val="19A033D9"/>
    <w:rsid w:val="1A848C89"/>
    <w:rsid w:val="1B5101C3"/>
    <w:rsid w:val="1BD8CE26"/>
    <w:rsid w:val="1C5E9F2D"/>
    <w:rsid w:val="1E6F4653"/>
    <w:rsid w:val="1E797333"/>
    <w:rsid w:val="1F5D5262"/>
    <w:rsid w:val="1F86CBBB"/>
    <w:rsid w:val="1FC78186"/>
    <w:rsid w:val="202AC941"/>
    <w:rsid w:val="2088A0C7"/>
    <w:rsid w:val="217036A0"/>
    <w:rsid w:val="21D90F96"/>
    <w:rsid w:val="21F0FD70"/>
    <w:rsid w:val="22535634"/>
    <w:rsid w:val="23707F41"/>
    <w:rsid w:val="23EB5EC9"/>
    <w:rsid w:val="241A4327"/>
    <w:rsid w:val="2423D9B5"/>
    <w:rsid w:val="2506BFFC"/>
    <w:rsid w:val="2547C574"/>
    <w:rsid w:val="255B041C"/>
    <w:rsid w:val="257B8BFD"/>
    <w:rsid w:val="260831F1"/>
    <w:rsid w:val="262E499F"/>
    <w:rsid w:val="267C5C09"/>
    <w:rsid w:val="26F204C8"/>
    <w:rsid w:val="26F47798"/>
    <w:rsid w:val="27197CFC"/>
    <w:rsid w:val="273A91E4"/>
    <w:rsid w:val="277E8CB4"/>
    <w:rsid w:val="282C32DB"/>
    <w:rsid w:val="2A17A02A"/>
    <w:rsid w:val="2A207345"/>
    <w:rsid w:val="2A2763B1"/>
    <w:rsid w:val="2ABA09A9"/>
    <w:rsid w:val="2AF0A729"/>
    <w:rsid w:val="2B8420BC"/>
    <w:rsid w:val="2BDE1BC0"/>
    <w:rsid w:val="2CF8EEB2"/>
    <w:rsid w:val="2D30F923"/>
    <w:rsid w:val="2D55CB1C"/>
    <w:rsid w:val="2DE554CD"/>
    <w:rsid w:val="2E010BE5"/>
    <w:rsid w:val="2EE36130"/>
    <w:rsid w:val="2F74BFE9"/>
    <w:rsid w:val="2F90CC6E"/>
    <w:rsid w:val="30F5AEF1"/>
    <w:rsid w:val="31149B59"/>
    <w:rsid w:val="312F2C85"/>
    <w:rsid w:val="313CAF54"/>
    <w:rsid w:val="327D81F4"/>
    <w:rsid w:val="32970EF8"/>
    <w:rsid w:val="33421C56"/>
    <w:rsid w:val="343D345C"/>
    <w:rsid w:val="34FCFDCE"/>
    <w:rsid w:val="35F94F5C"/>
    <w:rsid w:val="3661C3AB"/>
    <w:rsid w:val="381E6B8B"/>
    <w:rsid w:val="382AFF89"/>
    <w:rsid w:val="390B15D9"/>
    <w:rsid w:val="3A3DD01D"/>
    <w:rsid w:val="3AACC794"/>
    <w:rsid w:val="3B45CA4F"/>
    <w:rsid w:val="3BFDF27D"/>
    <w:rsid w:val="3C2EE07B"/>
    <w:rsid w:val="3C56E6CA"/>
    <w:rsid w:val="3C76DE0C"/>
    <w:rsid w:val="3E55739B"/>
    <w:rsid w:val="3FB77F2F"/>
    <w:rsid w:val="4075979C"/>
    <w:rsid w:val="4080F356"/>
    <w:rsid w:val="40983E9B"/>
    <w:rsid w:val="4118B774"/>
    <w:rsid w:val="4206E125"/>
    <w:rsid w:val="42240E32"/>
    <w:rsid w:val="42242628"/>
    <w:rsid w:val="4318F57D"/>
    <w:rsid w:val="435F635D"/>
    <w:rsid w:val="439629ED"/>
    <w:rsid w:val="43ABC08B"/>
    <w:rsid w:val="43D46E3D"/>
    <w:rsid w:val="441BC866"/>
    <w:rsid w:val="447EA545"/>
    <w:rsid w:val="452E4233"/>
    <w:rsid w:val="4588E5F3"/>
    <w:rsid w:val="4598AC33"/>
    <w:rsid w:val="45A7EAC1"/>
    <w:rsid w:val="460F6564"/>
    <w:rsid w:val="462A28D1"/>
    <w:rsid w:val="4691D920"/>
    <w:rsid w:val="469A9A8C"/>
    <w:rsid w:val="46A4057E"/>
    <w:rsid w:val="46D1E279"/>
    <w:rsid w:val="476C364D"/>
    <w:rsid w:val="47CA6031"/>
    <w:rsid w:val="47CC586F"/>
    <w:rsid w:val="4805021D"/>
    <w:rsid w:val="4854D9F4"/>
    <w:rsid w:val="48F2A88A"/>
    <w:rsid w:val="49FACD82"/>
    <w:rsid w:val="4A9EEA74"/>
    <w:rsid w:val="4ABC728C"/>
    <w:rsid w:val="4B048611"/>
    <w:rsid w:val="4BBCDCCF"/>
    <w:rsid w:val="4BE418D5"/>
    <w:rsid w:val="4C316C89"/>
    <w:rsid w:val="4C50CCB8"/>
    <w:rsid w:val="4CFC5547"/>
    <w:rsid w:val="4E3B99F3"/>
    <w:rsid w:val="4E886BF0"/>
    <w:rsid w:val="4F6C5BB7"/>
    <w:rsid w:val="5048C74D"/>
    <w:rsid w:val="5094AEA8"/>
    <w:rsid w:val="51293E55"/>
    <w:rsid w:val="524ED265"/>
    <w:rsid w:val="537B3E0B"/>
    <w:rsid w:val="53D04B79"/>
    <w:rsid w:val="53F02AB3"/>
    <w:rsid w:val="550D6611"/>
    <w:rsid w:val="56624698"/>
    <w:rsid w:val="57A37997"/>
    <w:rsid w:val="58241DDE"/>
    <w:rsid w:val="58A4FFFE"/>
    <w:rsid w:val="5979C4A6"/>
    <w:rsid w:val="59A0E6C3"/>
    <w:rsid w:val="5A573C91"/>
    <w:rsid w:val="5A5E122F"/>
    <w:rsid w:val="5B4D4C33"/>
    <w:rsid w:val="5B4EF3B9"/>
    <w:rsid w:val="5B98F720"/>
    <w:rsid w:val="5BC31CAD"/>
    <w:rsid w:val="5BD997F1"/>
    <w:rsid w:val="5C367CBA"/>
    <w:rsid w:val="5D1F9B95"/>
    <w:rsid w:val="5D209752"/>
    <w:rsid w:val="5D50BC02"/>
    <w:rsid w:val="5E33DB96"/>
    <w:rsid w:val="5EF60D80"/>
    <w:rsid w:val="5EFCFDEC"/>
    <w:rsid w:val="5F0A5880"/>
    <w:rsid w:val="5F2F536E"/>
    <w:rsid w:val="6034F5F6"/>
    <w:rsid w:val="60650C67"/>
    <w:rsid w:val="607EA9D1"/>
    <w:rsid w:val="6096012E"/>
    <w:rsid w:val="614435BA"/>
    <w:rsid w:val="62E595C1"/>
    <w:rsid w:val="633819EB"/>
    <w:rsid w:val="636E1DEA"/>
    <w:rsid w:val="63A0E07D"/>
    <w:rsid w:val="641FE479"/>
    <w:rsid w:val="6566BD23"/>
    <w:rsid w:val="65D41C47"/>
    <w:rsid w:val="66279BB8"/>
    <w:rsid w:val="663D2713"/>
    <w:rsid w:val="6651DB6F"/>
    <w:rsid w:val="6653F190"/>
    <w:rsid w:val="67106103"/>
    <w:rsid w:val="67ABF9F2"/>
    <w:rsid w:val="67BE63B9"/>
    <w:rsid w:val="67C22CF7"/>
    <w:rsid w:val="68C58F2F"/>
    <w:rsid w:val="695DBFEF"/>
    <w:rsid w:val="6A2DD753"/>
    <w:rsid w:val="6A37A2BC"/>
    <w:rsid w:val="6C3221F9"/>
    <w:rsid w:val="6CAEF84D"/>
    <w:rsid w:val="6CD2B2B7"/>
    <w:rsid w:val="6DC16F51"/>
    <w:rsid w:val="6E20BF89"/>
    <w:rsid w:val="6EE0948E"/>
    <w:rsid w:val="6F8B7B3A"/>
    <w:rsid w:val="6FA2E2D1"/>
    <w:rsid w:val="6FAF76BD"/>
    <w:rsid w:val="71EDA046"/>
    <w:rsid w:val="735B1164"/>
    <w:rsid w:val="73826EB7"/>
    <w:rsid w:val="739C49AD"/>
    <w:rsid w:val="73AF30DC"/>
    <w:rsid w:val="73C834E5"/>
    <w:rsid w:val="73E83108"/>
    <w:rsid w:val="73FC669E"/>
    <w:rsid w:val="743B62DE"/>
    <w:rsid w:val="745222C3"/>
    <w:rsid w:val="749EB1BE"/>
    <w:rsid w:val="74BF9066"/>
    <w:rsid w:val="74DC8B73"/>
    <w:rsid w:val="74EB6EF4"/>
    <w:rsid w:val="7573858E"/>
    <w:rsid w:val="77369C47"/>
    <w:rsid w:val="78A6396F"/>
    <w:rsid w:val="790A0343"/>
    <w:rsid w:val="7ADFE979"/>
    <w:rsid w:val="7B17B1C8"/>
    <w:rsid w:val="7CE801FF"/>
    <w:rsid w:val="7D3A2D1E"/>
    <w:rsid w:val="7D62F25D"/>
    <w:rsid w:val="7DBDCCA0"/>
    <w:rsid w:val="7DF3BE5F"/>
    <w:rsid w:val="7F14299A"/>
    <w:rsid w:val="7F7752EA"/>
    <w:rsid w:val="7FF8F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F75F2"/>
  <w15:chartTrackingRefBased/>
  <w15:docId w15:val="{443978B7-8B42-41D8-85F9-074DD23F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A7"/>
  </w:style>
  <w:style w:type="paragraph" w:styleId="Footer">
    <w:name w:val="footer"/>
    <w:basedOn w:val="Normal"/>
    <w:link w:val="FooterChar"/>
    <w:uiPriority w:val="99"/>
    <w:unhideWhenUsed/>
    <w:rsid w:val="00574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A7"/>
  </w:style>
  <w:style w:type="paragraph" w:styleId="BodyText">
    <w:name w:val="Body Text"/>
    <w:basedOn w:val="Normal"/>
    <w:link w:val="BodyTextChar"/>
    <w:uiPriority w:val="1"/>
    <w:qFormat/>
    <w:rsid w:val="005747A7"/>
  </w:style>
  <w:style w:type="character" w:customStyle="1" w:styleId="BodyTextChar">
    <w:name w:val="Body Text Char"/>
    <w:basedOn w:val="DefaultParagraphFont"/>
    <w:link w:val="BodyText"/>
    <w:uiPriority w:val="1"/>
    <w:rsid w:val="005747A7"/>
    <w:rPr>
      <w:rFonts w:ascii="Arial" w:eastAsia="Arial" w:hAnsi="Arial" w:cs="Arial"/>
      <w:kern w:val="0"/>
      <w:lang w:bidi="en-US"/>
    </w:rPr>
  </w:style>
  <w:style w:type="paragraph" w:customStyle="1" w:styleId="TableParagraph">
    <w:name w:val="Table Paragraph"/>
    <w:basedOn w:val="Normal"/>
    <w:uiPriority w:val="1"/>
    <w:qFormat/>
    <w:rsid w:val="005747A7"/>
    <w:pPr>
      <w:ind w:left="110"/>
    </w:pPr>
  </w:style>
  <w:style w:type="paragraph" w:styleId="NormalWeb">
    <w:name w:val="Normal (Web)"/>
    <w:basedOn w:val="Normal"/>
    <w:uiPriority w:val="99"/>
    <w:semiHidden/>
    <w:unhideWhenUsed/>
    <w:rsid w:val="005747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5747A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47A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7A7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en-GB" w:bidi="ar-SA"/>
    </w:rPr>
  </w:style>
  <w:style w:type="table" w:styleId="TableGridLight">
    <w:name w:val="Grid Table Light"/>
    <w:basedOn w:val="TableNormal"/>
    <w:uiPriority w:val="40"/>
    <w:rsid w:val="005747A7"/>
    <w:pPr>
      <w:spacing w:after="0" w:line="240" w:lineRule="auto"/>
    </w:pPr>
    <w:rPr>
      <w:rFonts w:ascii="New York" w:eastAsia="Times New Roman" w:hAnsi="New York" w:cs="Times New Roman"/>
      <w:kern w:val="0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5747A7"/>
    <w:pPr>
      <w:spacing w:after="0" w:line="240" w:lineRule="auto"/>
    </w:pPr>
    <w:rPr>
      <w:rFonts w:ascii="Arial" w:eastAsia="Arial" w:hAnsi="Arial" w:cs="Arial"/>
      <w:kern w:val="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7A7"/>
    <w:rPr>
      <w:rFonts w:ascii="Arial" w:eastAsia="Arial" w:hAnsi="Arial" w:cs="Arial"/>
      <w:kern w:val="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7A7"/>
    <w:rPr>
      <w:rFonts w:ascii="Arial" w:eastAsia="Arial" w:hAnsi="Arial" w:cs="Arial"/>
      <w:b/>
      <w:bCs/>
      <w:kern w:val="0"/>
      <w:sz w:val="20"/>
      <w:szCs w:val="20"/>
      <w:lang w:bidi="en-US"/>
    </w:rPr>
  </w:style>
  <w:style w:type="paragraph" w:styleId="NoSpacing">
    <w:name w:val="No Spacing"/>
    <w:link w:val="NoSpacingChar"/>
    <w:uiPriority w:val="1"/>
    <w:qFormat/>
    <w:rsid w:val="005747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7A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747A7"/>
    <w:pPr>
      <w:numPr>
        <w:numId w:val="1"/>
      </w:num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747A7"/>
    <w:rPr>
      <w:rFonts w:ascii="Arial" w:eastAsia="Arial" w:hAnsi="Arial" w:cs="Arial"/>
      <w:kern w:val="0"/>
      <w:lang w:bidi="en-US"/>
    </w:rPr>
  </w:style>
  <w:style w:type="character" w:customStyle="1" w:styleId="ui-provider">
    <w:name w:val="ui-provider"/>
    <w:basedOn w:val="DefaultParagraphFont"/>
    <w:rsid w:val="00F96AFE"/>
  </w:style>
  <w:style w:type="character" w:customStyle="1" w:styleId="fontstyle01">
    <w:name w:val="fontstyle01"/>
    <w:basedOn w:val="DefaultParagraphFont"/>
    <w:rsid w:val="001D535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D535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82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7" ma:contentTypeDescription="Create a new document." ma:contentTypeScope="" ma:versionID="6d475dd3e7c1fcf9568454ad5d4c4d07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c8681b4ee01c5675100af65f45fc3cfe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  <SharedWithUsers xmlns="1eba4b97-86a2-43fe-8251-1ed1f7311058">
      <UserInfo>
        <DisplayName>Sakinah Sutherland-Jones</DisplayName>
        <AccountId>516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B6F3F-934C-48F0-8C98-159362655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3926-05C9-4B38-8DCE-7FCA6CA8D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25419-819B-4D99-A82D-F41E0B8EF892}">
  <ds:schemaRefs>
    <ds:schemaRef ds:uri="http://schemas.microsoft.com/office/2006/metadata/properties"/>
    <ds:schemaRef ds:uri="http://schemas.microsoft.com/office/infopath/2007/PartnerControls"/>
    <ds:schemaRef ds:uri="a307ddb7-a157-47b7-ad87-537fd7be41b1"/>
    <ds:schemaRef ds:uri="1eba4b97-86a2-43fe-8251-1ed1f7311058"/>
  </ds:schemaRefs>
</ds:datastoreItem>
</file>

<file path=customXml/itemProps4.xml><?xml version="1.0" encoding="utf-8"?>
<ds:datastoreItem xmlns:ds="http://schemas.openxmlformats.org/officeDocument/2006/customXml" ds:itemID="{8619C304-3440-4E82-BE60-D8B22CA15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Ahmed</dc:creator>
  <cp:keywords/>
  <dc:description/>
  <cp:lastModifiedBy>Sakinah Sutherland-Jones</cp:lastModifiedBy>
  <cp:revision>6</cp:revision>
  <dcterms:created xsi:type="dcterms:W3CDTF">2023-10-12T14:47:00Z</dcterms:created>
  <dcterms:modified xsi:type="dcterms:W3CDTF">2023-11-06T12:29:00Z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0x01010080690BBBC6B69E48AEE4C85D3250EEAF</vt:lpwstr>
  </property>
  <property fmtid="{D5CDD505-2E9C-101B-9397-08002B2CF9AE}" pid="3" name="MediaServiceImageTags">
    <vt:lpwstr/>
  </property>
</Properties>
</file>